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1FF5" w14:textId="77777777" w:rsidR="008B7B6D" w:rsidRPr="001D67D9" w:rsidRDefault="008B7B6D" w:rsidP="0098741F">
      <w:pPr>
        <w:outlineLvl w:val="0"/>
        <w:rPr>
          <w:rFonts w:ascii="Georgia" w:hAnsi="Georgia"/>
          <w:b/>
          <w:color w:val="auto"/>
          <w:sz w:val="20"/>
        </w:rPr>
      </w:pPr>
    </w:p>
    <w:p w14:paraId="295BDE09" w14:textId="77777777" w:rsidR="008B7B6D" w:rsidRPr="001D67D9" w:rsidRDefault="008B7B6D" w:rsidP="0098741F">
      <w:pPr>
        <w:jc w:val="center"/>
        <w:outlineLvl w:val="0"/>
        <w:rPr>
          <w:rFonts w:ascii="Georgia" w:hAnsi="Georgia"/>
          <w:b/>
          <w:color w:val="auto"/>
          <w:sz w:val="20"/>
        </w:rPr>
      </w:pPr>
    </w:p>
    <w:p w14:paraId="4461C5A1" w14:textId="5C846448" w:rsidR="008B7B6D" w:rsidRPr="001D67D9" w:rsidRDefault="008B7B6D" w:rsidP="0098741F">
      <w:pPr>
        <w:jc w:val="center"/>
        <w:outlineLvl w:val="0"/>
        <w:rPr>
          <w:rFonts w:ascii="Georgia" w:hAnsi="Georgia"/>
          <w:b/>
          <w:color w:val="auto"/>
          <w:sz w:val="20"/>
        </w:rPr>
      </w:pPr>
      <w:r w:rsidRPr="001D67D9">
        <w:rPr>
          <w:rFonts w:ascii="Georgia" w:hAnsi="Georgia"/>
          <w:b/>
          <w:color w:val="auto"/>
          <w:sz w:val="20"/>
        </w:rPr>
        <w:t>NOTĂ DE FUNDAMENTARE</w:t>
      </w:r>
    </w:p>
    <w:p w14:paraId="5E08033C" w14:textId="77777777" w:rsidR="00332140" w:rsidRPr="001D67D9" w:rsidRDefault="00332140" w:rsidP="0098741F">
      <w:pPr>
        <w:jc w:val="center"/>
        <w:outlineLvl w:val="0"/>
        <w:rPr>
          <w:rFonts w:ascii="Georgia" w:hAnsi="Georgia"/>
          <w:b/>
          <w:color w:val="auto"/>
          <w:sz w:val="20"/>
        </w:rPr>
      </w:pPr>
    </w:p>
    <w:p w14:paraId="4C522449" w14:textId="77777777" w:rsidR="008B7B6D" w:rsidRPr="001D67D9" w:rsidRDefault="008B7B6D" w:rsidP="0098741F">
      <w:pPr>
        <w:outlineLvl w:val="0"/>
        <w:rPr>
          <w:rFonts w:ascii="Georgia" w:hAnsi="Georgia"/>
          <w:b/>
          <w:color w:val="auto"/>
          <w:sz w:val="20"/>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3"/>
        <w:gridCol w:w="1795"/>
        <w:gridCol w:w="6082"/>
        <w:gridCol w:w="7"/>
      </w:tblGrid>
      <w:tr w:rsidR="008B7B6D" w:rsidRPr="001D67D9" w14:paraId="778D2405" w14:textId="77777777" w:rsidTr="002D52F7">
        <w:trPr>
          <w:trHeight w:val="70"/>
        </w:trPr>
        <w:tc>
          <w:tcPr>
            <w:tcW w:w="9990" w:type="dxa"/>
            <w:gridSpan w:val="5"/>
          </w:tcPr>
          <w:p w14:paraId="45FC9BEB" w14:textId="77777777" w:rsidR="00870EB0" w:rsidRPr="001D67D9" w:rsidRDefault="00870EB0" w:rsidP="0098741F">
            <w:pPr>
              <w:jc w:val="center"/>
              <w:rPr>
                <w:rFonts w:ascii="Georgia" w:hAnsi="Georgia"/>
                <w:b/>
                <w:color w:val="auto"/>
                <w:sz w:val="20"/>
              </w:rPr>
            </w:pPr>
          </w:p>
          <w:p w14:paraId="06F6531A" w14:textId="77777777" w:rsidR="008B7B6D" w:rsidRPr="001D67D9" w:rsidRDefault="008B7B6D" w:rsidP="0098741F">
            <w:pPr>
              <w:jc w:val="center"/>
              <w:rPr>
                <w:rFonts w:ascii="Georgia" w:hAnsi="Georgia"/>
                <w:b/>
                <w:color w:val="auto"/>
                <w:sz w:val="20"/>
              </w:rPr>
            </w:pPr>
            <w:r w:rsidRPr="001D67D9">
              <w:rPr>
                <w:rFonts w:ascii="Georgia" w:hAnsi="Georgia"/>
                <w:b/>
                <w:color w:val="auto"/>
                <w:sz w:val="20"/>
              </w:rPr>
              <w:t>Secțiunea 1: Titlul proiectului de act normativ</w:t>
            </w:r>
          </w:p>
          <w:p w14:paraId="1AD4FA25" w14:textId="05B67A04" w:rsidR="00870EB0" w:rsidRPr="001D67D9" w:rsidRDefault="00870EB0" w:rsidP="0098741F">
            <w:pPr>
              <w:jc w:val="center"/>
              <w:rPr>
                <w:rFonts w:ascii="Georgia" w:hAnsi="Georgia"/>
                <w:b/>
                <w:color w:val="auto"/>
                <w:sz w:val="20"/>
              </w:rPr>
            </w:pPr>
          </w:p>
        </w:tc>
      </w:tr>
      <w:tr w:rsidR="008B7B6D" w:rsidRPr="001D67D9" w14:paraId="1FDDEBD8" w14:textId="77777777" w:rsidTr="002D52F7">
        <w:trPr>
          <w:trHeight w:val="503"/>
        </w:trPr>
        <w:tc>
          <w:tcPr>
            <w:tcW w:w="9990" w:type="dxa"/>
            <w:gridSpan w:val="5"/>
          </w:tcPr>
          <w:p w14:paraId="66D3F209" w14:textId="77777777" w:rsidR="00FC4803" w:rsidRPr="001D67D9" w:rsidRDefault="00FC4803" w:rsidP="0098741F">
            <w:pPr>
              <w:jc w:val="center"/>
              <w:rPr>
                <w:rFonts w:ascii="Georgia" w:hAnsi="Georgia"/>
                <w:b/>
                <w:color w:val="auto"/>
                <w:sz w:val="20"/>
              </w:rPr>
            </w:pPr>
          </w:p>
          <w:p w14:paraId="7CABD810" w14:textId="0BC02EE6" w:rsidR="008B7B6D" w:rsidRPr="001D67D9" w:rsidRDefault="008B7B6D" w:rsidP="0098741F">
            <w:pPr>
              <w:jc w:val="center"/>
              <w:rPr>
                <w:rFonts w:ascii="Georgia" w:hAnsi="Georgia"/>
                <w:b/>
                <w:color w:val="auto"/>
                <w:sz w:val="20"/>
              </w:rPr>
            </w:pPr>
            <w:r w:rsidRPr="001D67D9">
              <w:rPr>
                <w:rFonts w:ascii="Georgia" w:hAnsi="Georgia"/>
                <w:b/>
                <w:color w:val="auto"/>
                <w:sz w:val="20"/>
              </w:rPr>
              <w:t>HOTĂRÂRE</w:t>
            </w:r>
            <w:r w:rsidR="00F13413" w:rsidRPr="001D67D9">
              <w:rPr>
                <w:rFonts w:ascii="Georgia" w:hAnsi="Georgia"/>
                <w:b/>
                <w:color w:val="auto"/>
                <w:sz w:val="20"/>
              </w:rPr>
              <w:t xml:space="preserve"> A GUVERNULUI</w:t>
            </w:r>
          </w:p>
          <w:p w14:paraId="1E67B60F" w14:textId="1A6E75C9" w:rsidR="0003048C" w:rsidRPr="001D67D9" w:rsidRDefault="00F13413" w:rsidP="0098741F">
            <w:pPr>
              <w:autoSpaceDE w:val="0"/>
              <w:autoSpaceDN w:val="0"/>
              <w:adjustRightInd w:val="0"/>
              <w:spacing w:line="276" w:lineRule="auto"/>
              <w:jc w:val="center"/>
              <w:rPr>
                <w:rFonts w:ascii="Georgia" w:hAnsi="Georgia"/>
                <w:b/>
                <w:bCs/>
                <w:color w:val="auto"/>
                <w:sz w:val="20"/>
              </w:rPr>
            </w:pPr>
            <w:r w:rsidRPr="001D67D9">
              <w:rPr>
                <w:rFonts w:ascii="Georgia" w:hAnsi="Georgia"/>
                <w:b/>
                <w:bCs/>
                <w:color w:val="auto"/>
                <w:sz w:val="20"/>
              </w:rPr>
              <w:t>privind</w:t>
            </w:r>
            <w:r w:rsidR="006A4BA3" w:rsidRPr="001D67D9">
              <w:rPr>
                <w:rFonts w:ascii="Georgia" w:hAnsi="Georgia"/>
                <w:b/>
                <w:bCs/>
                <w:color w:val="auto"/>
                <w:sz w:val="20"/>
              </w:rPr>
              <w:t xml:space="preserve"> </w:t>
            </w:r>
            <w:r w:rsidRPr="001D67D9">
              <w:rPr>
                <w:rFonts w:ascii="Georgia" w:hAnsi="Georgia"/>
                <w:b/>
                <w:bCs/>
                <w:color w:val="auto"/>
                <w:sz w:val="20"/>
              </w:rPr>
              <w:t xml:space="preserve">implementarea sistemului de garanție-returnare pentru ambalaje primare nereutilizabile </w:t>
            </w:r>
          </w:p>
          <w:p w14:paraId="678CCE94" w14:textId="71CB46CA" w:rsidR="00FC4803" w:rsidRPr="001D67D9" w:rsidRDefault="00FC4803" w:rsidP="0098741F">
            <w:pPr>
              <w:autoSpaceDE w:val="0"/>
              <w:autoSpaceDN w:val="0"/>
              <w:adjustRightInd w:val="0"/>
              <w:spacing w:line="276" w:lineRule="auto"/>
              <w:jc w:val="center"/>
              <w:rPr>
                <w:rFonts w:ascii="Georgia" w:hAnsi="Georgia"/>
                <w:b/>
                <w:color w:val="auto"/>
                <w:sz w:val="20"/>
              </w:rPr>
            </w:pPr>
          </w:p>
        </w:tc>
      </w:tr>
      <w:tr w:rsidR="008B7B6D" w:rsidRPr="001D67D9" w14:paraId="5CDF6F59" w14:textId="77777777" w:rsidTr="002D52F7">
        <w:trPr>
          <w:trHeight w:val="70"/>
        </w:trPr>
        <w:tc>
          <w:tcPr>
            <w:tcW w:w="9990" w:type="dxa"/>
            <w:gridSpan w:val="5"/>
          </w:tcPr>
          <w:p w14:paraId="79FA4206" w14:textId="77777777" w:rsidR="00870EB0" w:rsidRPr="001D67D9" w:rsidRDefault="00870EB0" w:rsidP="0098741F">
            <w:pPr>
              <w:rPr>
                <w:rFonts w:ascii="Georgia" w:hAnsi="Georgia"/>
                <w:b/>
                <w:color w:val="auto"/>
                <w:sz w:val="20"/>
              </w:rPr>
            </w:pPr>
          </w:p>
          <w:p w14:paraId="10C3E388" w14:textId="77777777" w:rsidR="008B7B6D" w:rsidRPr="001D67D9" w:rsidRDefault="008B7B6D" w:rsidP="0098741F">
            <w:pPr>
              <w:jc w:val="center"/>
              <w:rPr>
                <w:rFonts w:ascii="Georgia" w:hAnsi="Georgia"/>
                <w:b/>
                <w:color w:val="auto"/>
                <w:sz w:val="20"/>
              </w:rPr>
            </w:pPr>
            <w:r w:rsidRPr="001D67D9">
              <w:rPr>
                <w:rFonts w:ascii="Georgia" w:hAnsi="Georgia"/>
                <w:b/>
                <w:color w:val="auto"/>
                <w:sz w:val="20"/>
              </w:rPr>
              <w:t>Secțiunea a 2-a: Motivul emiterii actului normativ</w:t>
            </w:r>
          </w:p>
          <w:p w14:paraId="28082E28" w14:textId="6F46AF0D" w:rsidR="00870EB0" w:rsidRPr="001D67D9" w:rsidRDefault="00870EB0" w:rsidP="0098741F">
            <w:pPr>
              <w:rPr>
                <w:rFonts w:ascii="Georgia" w:hAnsi="Georgia"/>
                <w:b/>
                <w:color w:val="auto"/>
                <w:sz w:val="20"/>
              </w:rPr>
            </w:pPr>
          </w:p>
        </w:tc>
      </w:tr>
      <w:tr w:rsidR="006A4BA3" w:rsidRPr="001D67D9" w14:paraId="44A88783" w14:textId="77777777" w:rsidTr="002D52F7">
        <w:trPr>
          <w:trHeight w:val="503"/>
        </w:trPr>
        <w:tc>
          <w:tcPr>
            <w:tcW w:w="2106" w:type="dxa"/>
            <w:gridSpan w:val="2"/>
          </w:tcPr>
          <w:p w14:paraId="02BF99BB" w14:textId="77777777" w:rsidR="006A4BA3" w:rsidRPr="001D67D9" w:rsidRDefault="006A4BA3" w:rsidP="0098741F">
            <w:pPr>
              <w:rPr>
                <w:rFonts w:ascii="Georgia" w:hAnsi="Georgia"/>
                <w:b/>
                <w:color w:val="auto"/>
                <w:sz w:val="20"/>
              </w:rPr>
            </w:pPr>
            <w:r w:rsidRPr="001D67D9">
              <w:rPr>
                <w:rFonts w:ascii="Georgia" w:hAnsi="Georgia"/>
                <w:color w:val="auto"/>
                <w:sz w:val="20"/>
              </w:rPr>
              <w:t>1. Descrierea situaţiei actuale</w:t>
            </w:r>
          </w:p>
        </w:tc>
        <w:tc>
          <w:tcPr>
            <w:tcW w:w="7884" w:type="dxa"/>
            <w:gridSpan w:val="3"/>
            <w:shd w:val="clear" w:color="auto" w:fill="auto"/>
          </w:tcPr>
          <w:p w14:paraId="3A3C9444" w14:textId="46133947" w:rsidR="00D43998" w:rsidRDefault="00D43998" w:rsidP="0098741F">
            <w:pPr>
              <w:pStyle w:val="BodyText"/>
              <w:spacing w:line="276" w:lineRule="auto"/>
              <w:jc w:val="both"/>
              <w:rPr>
                <w:rFonts w:ascii="Georgia" w:hAnsi="Georgia"/>
                <w:sz w:val="20"/>
              </w:rPr>
            </w:pPr>
            <w:r w:rsidRPr="001D67D9">
              <w:rPr>
                <w:rFonts w:ascii="Georgia" w:hAnsi="Georgia"/>
                <w:sz w:val="20"/>
              </w:rPr>
              <w:t>Ambalajele constituie atât o parte esențială în manipularea mărfurilor, cât și una dintre problemele acute ale societății moderne. În vederea limitării impactului ambalajelor asupra mediului și pentru a reduce eliminarea finală, se impune identificarea unor soluții de optimizare a gestionării durabile a acestora, pentru a conserva și a îmbunătăți calitatea mediului, pentru a proteja sănătatea umană</w:t>
            </w:r>
            <w:r w:rsidR="00425695">
              <w:rPr>
                <w:rFonts w:ascii="Georgia" w:hAnsi="Georgia"/>
                <w:sz w:val="20"/>
              </w:rPr>
              <w:t xml:space="preserve"> și</w:t>
            </w:r>
            <w:r w:rsidRPr="001D67D9">
              <w:rPr>
                <w:rFonts w:ascii="Georgia" w:hAnsi="Georgia"/>
                <w:sz w:val="20"/>
              </w:rPr>
              <w:t xml:space="preserve"> pentru a asigura utilizarea prudentă, eficientă și rațională a resurselor naturale.</w:t>
            </w:r>
          </w:p>
          <w:p w14:paraId="40B05A62" w14:textId="20C9B604" w:rsidR="00EA1204" w:rsidRPr="001D67D9" w:rsidRDefault="00EA1204" w:rsidP="0098741F">
            <w:pPr>
              <w:pStyle w:val="BodyText"/>
              <w:spacing w:line="276" w:lineRule="auto"/>
              <w:jc w:val="both"/>
              <w:rPr>
                <w:rFonts w:ascii="Georgia" w:hAnsi="Georgia"/>
                <w:sz w:val="20"/>
              </w:rPr>
            </w:pPr>
            <w:r w:rsidRPr="00EA1204">
              <w:rPr>
                <w:rFonts w:ascii="Georgia" w:hAnsi="Georgia"/>
                <w:sz w:val="20"/>
              </w:rPr>
              <w:t>În România, dintre deșeurile abandonate atât în mediul rural, cât și în mediul urban, aproximativ 38% sunt reprezentate de plastic, sticlă și metal.</w:t>
            </w:r>
          </w:p>
          <w:p w14:paraId="20753D3F" w14:textId="5FA75201" w:rsidR="00FE1930" w:rsidRPr="001D67D9" w:rsidRDefault="00FE1930" w:rsidP="00FE1930">
            <w:pPr>
              <w:pStyle w:val="BodyText"/>
              <w:spacing w:line="276" w:lineRule="auto"/>
              <w:jc w:val="both"/>
              <w:rPr>
                <w:rFonts w:ascii="Georgia" w:hAnsi="Georgia"/>
                <w:sz w:val="20"/>
              </w:rPr>
            </w:pPr>
            <w:r w:rsidRPr="001D67D9">
              <w:rPr>
                <w:rFonts w:ascii="Georgia" w:hAnsi="Georgia"/>
                <w:sz w:val="20"/>
              </w:rPr>
              <w:t>Prevenția, în ceea ce privește generarea de deșeuri</w:t>
            </w:r>
            <w:r w:rsidR="00DA7F3F" w:rsidRPr="001D67D9">
              <w:rPr>
                <w:rFonts w:ascii="Georgia" w:hAnsi="Georgia"/>
                <w:sz w:val="20"/>
              </w:rPr>
              <w:t>,</w:t>
            </w:r>
            <w:r w:rsidRPr="001D67D9">
              <w:rPr>
                <w:rFonts w:ascii="Georgia" w:hAnsi="Georgia"/>
                <w:sz w:val="20"/>
              </w:rPr>
              <w:t xml:space="preserve"> este cea mai bună metodă de a îmbunătăți utilizarea</w:t>
            </w:r>
            <w:r w:rsidR="00425695">
              <w:rPr>
                <w:rFonts w:ascii="Georgia" w:hAnsi="Georgia"/>
                <w:sz w:val="20"/>
              </w:rPr>
              <w:t xml:space="preserve"> </w:t>
            </w:r>
            <w:r w:rsidRPr="001D67D9">
              <w:rPr>
                <w:rFonts w:ascii="Georgia" w:hAnsi="Georgia"/>
                <w:sz w:val="20"/>
              </w:rPr>
              <w:t xml:space="preserve">resurselor și de a reduce impactul deșeurilor asupra mediului. Prin urmare, este important ca la nivel național să fie implementate măsuri adecvate și oportune pentru prevenirea </w:t>
            </w:r>
            <w:r w:rsidR="004A7431" w:rsidRPr="001D67D9">
              <w:rPr>
                <w:rFonts w:ascii="Georgia" w:hAnsi="Georgia"/>
                <w:sz w:val="20"/>
              </w:rPr>
              <w:t>generării</w:t>
            </w:r>
            <w:r w:rsidRPr="001D67D9">
              <w:rPr>
                <w:rFonts w:ascii="Georgia" w:hAnsi="Georgia"/>
                <w:sz w:val="20"/>
              </w:rPr>
              <w:t xml:space="preserve"> de</w:t>
            </w:r>
            <w:r w:rsidR="004A7431" w:rsidRPr="001D67D9">
              <w:rPr>
                <w:rFonts w:ascii="Georgia" w:hAnsi="Georgia"/>
                <w:sz w:val="20"/>
              </w:rPr>
              <w:t xml:space="preserve"> </w:t>
            </w:r>
            <w:r w:rsidRPr="001D67D9">
              <w:rPr>
                <w:rFonts w:ascii="Georgia" w:hAnsi="Georgia"/>
                <w:sz w:val="20"/>
              </w:rPr>
              <w:t>deșeuri</w:t>
            </w:r>
            <w:r w:rsidR="00425695">
              <w:rPr>
                <w:rFonts w:ascii="Georgia" w:hAnsi="Georgia"/>
                <w:sz w:val="20"/>
              </w:rPr>
              <w:t xml:space="preserve"> și</w:t>
            </w:r>
            <w:r w:rsidRPr="001D67D9">
              <w:rPr>
                <w:rFonts w:ascii="Georgia" w:hAnsi="Georgia"/>
                <w:sz w:val="20"/>
              </w:rPr>
              <w:t xml:space="preserve"> pentru </w:t>
            </w:r>
            <w:r w:rsidR="004A7431" w:rsidRPr="001D67D9">
              <w:rPr>
                <w:rFonts w:ascii="Georgia" w:hAnsi="Georgia"/>
                <w:sz w:val="20"/>
              </w:rPr>
              <w:t>monitorizarea</w:t>
            </w:r>
            <w:r w:rsidRPr="001D67D9">
              <w:rPr>
                <w:rFonts w:ascii="Georgia" w:hAnsi="Georgia"/>
                <w:sz w:val="20"/>
              </w:rPr>
              <w:t xml:space="preserve"> și </w:t>
            </w:r>
            <w:r w:rsidR="004A7431" w:rsidRPr="001D67D9">
              <w:rPr>
                <w:rFonts w:ascii="Georgia" w:hAnsi="Georgia"/>
                <w:sz w:val="20"/>
              </w:rPr>
              <w:t>evaluarea</w:t>
            </w:r>
            <w:r w:rsidRPr="001D67D9">
              <w:rPr>
                <w:rFonts w:ascii="Georgia" w:hAnsi="Georgia"/>
                <w:sz w:val="20"/>
              </w:rPr>
              <w:t xml:space="preserve"> progresel</w:t>
            </w:r>
            <w:r w:rsidR="004A7431" w:rsidRPr="001D67D9">
              <w:rPr>
                <w:rFonts w:ascii="Georgia" w:hAnsi="Georgia"/>
                <w:sz w:val="20"/>
              </w:rPr>
              <w:t>or</w:t>
            </w:r>
            <w:r w:rsidRPr="001D67D9">
              <w:rPr>
                <w:rFonts w:ascii="Georgia" w:hAnsi="Georgia"/>
                <w:sz w:val="20"/>
              </w:rPr>
              <w:t xml:space="preserve"> înregistrate.</w:t>
            </w:r>
          </w:p>
          <w:p w14:paraId="3D2A5C6A" w14:textId="23A1A6F7" w:rsidR="00D43998" w:rsidRDefault="00CD6E83" w:rsidP="0098741F">
            <w:pPr>
              <w:pStyle w:val="BodyText"/>
              <w:spacing w:line="276" w:lineRule="auto"/>
              <w:jc w:val="both"/>
              <w:rPr>
                <w:rFonts w:ascii="Georgia" w:hAnsi="Georgia"/>
                <w:sz w:val="20"/>
              </w:rPr>
            </w:pPr>
            <w:r w:rsidRPr="001D67D9">
              <w:rPr>
                <w:rFonts w:ascii="Georgia" w:hAnsi="Georgia"/>
                <w:sz w:val="20"/>
              </w:rPr>
              <w:t>Prin OUG nr. 74/2018 pentru modificarea și completarea Legii nr. 211/2011 privind regimul deșeurilor, a Legii nr. 249/2015 privind modalitatea de gestionare a ambalajelor și a deșeurilor de ambalaje și a Ordonanței de urgență a Guvernului nr. 196/2005 privind Fondul pentru mediu</w:t>
            </w:r>
            <w:r w:rsidR="00DA7F3F" w:rsidRPr="001D67D9">
              <w:rPr>
                <w:rFonts w:ascii="Georgia" w:hAnsi="Georgia"/>
                <w:sz w:val="20"/>
              </w:rPr>
              <w:t xml:space="preserve">, aprobată </w:t>
            </w:r>
            <w:r w:rsidRPr="001D67D9">
              <w:rPr>
                <w:rFonts w:ascii="Georgia" w:hAnsi="Georgia"/>
                <w:sz w:val="20"/>
              </w:rPr>
              <w:t>prin Legea nr. 31/2019 s-a introdus cadrul general de funcționare a sistemului de garanție-returnare, cu aplicare din anul 2019 pentru ambalajele reutilizabile</w:t>
            </w:r>
            <w:r w:rsidR="00425695">
              <w:rPr>
                <w:rFonts w:ascii="Georgia" w:hAnsi="Georgia"/>
                <w:sz w:val="20"/>
              </w:rPr>
              <w:t xml:space="preserve"> și </w:t>
            </w:r>
            <w:r w:rsidR="00C4245C" w:rsidRPr="001D67D9">
              <w:rPr>
                <w:rFonts w:ascii="Georgia" w:hAnsi="Georgia"/>
                <w:sz w:val="20"/>
              </w:rPr>
              <w:t>s-a instituit în sarcina autorităților obligația ca, până la data de 1 ianuarie 2021</w:t>
            </w:r>
            <w:r w:rsidR="00425695">
              <w:rPr>
                <w:rFonts w:ascii="Georgia" w:hAnsi="Georgia"/>
                <w:sz w:val="20"/>
              </w:rPr>
              <w:t>,</w:t>
            </w:r>
            <w:r w:rsidR="00C4245C" w:rsidRPr="001D67D9">
              <w:rPr>
                <w:rFonts w:ascii="Georgia" w:hAnsi="Georgia"/>
                <w:sz w:val="20"/>
              </w:rPr>
              <w:t xml:space="preserve"> să traseze liniile generale de funcționare a sistemului de garanție-returnare</w:t>
            </w:r>
            <w:r w:rsidR="003C058F">
              <w:rPr>
                <w:rFonts w:ascii="Georgia" w:hAnsi="Georgia"/>
                <w:sz w:val="20"/>
              </w:rPr>
              <w:t xml:space="preserve"> pentru ambalaje nereutilizabile</w:t>
            </w:r>
            <w:r w:rsidR="00C4245C" w:rsidRPr="001D67D9">
              <w:rPr>
                <w:rFonts w:ascii="Georgia" w:hAnsi="Georgia"/>
                <w:sz w:val="20"/>
              </w:rPr>
              <w:t xml:space="preserve">, urmând ca implementarea efectivă a acestuia să se realizeze </w:t>
            </w:r>
            <w:r w:rsidR="003C058F">
              <w:rPr>
                <w:rFonts w:ascii="Georgia" w:hAnsi="Georgia"/>
                <w:sz w:val="20"/>
              </w:rPr>
              <w:t>cel târziu la</w:t>
            </w:r>
            <w:r w:rsidR="00C4245C" w:rsidRPr="001D67D9">
              <w:rPr>
                <w:rFonts w:ascii="Georgia" w:hAnsi="Georgia"/>
                <w:sz w:val="20"/>
              </w:rPr>
              <w:t xml:space="preserve"> data de 31 martie 2022. </w:t>
            </w:r>
          </w:p>
          <w:p w14:paraId="0A28C84C" w14:textId="77777777" w:rsidR="00425695" w:rsidRDefault="009B2F57" w:rsidP="0098741F">
            <w:pPr>
              <w:pStyle w:val="BodyText"/>
              <w:spacing w:line="276" w:lineRule="auto"/>
              <w:jc w:val="both"/>
              <w:rPr>
                <w:rFonts w:ascii="Georgia" w:hAnsi="Georgia"/>
                <w:sz w:val="20"/>
              </w:rPr>
            </w:pPr>
            <w:r>
              <w:rPr>
                <w:rFonts w:ascii="Georgia" w:hAnsi="Georgia"/>
                <w:sz w:val="20"/>
              </w:rPr>
              <w:t xml:space="preserve">La momentul actual, pentru ambalajele reutilizabile, consumatorul plătește o garanție în valoare de 0,50 lei la cumpărarea unui produs </w:t>
            </w:r>
            <w:r w:rsidR="00522DF0">
              <w:rPr>
                <w:rFonts w:ascii="Georgia" w:hAnsi="Georgia"/>
                <w:sz w:val="20"/>
              </w:rPr>
              <w:t xml:space="preserve">în ambalaj reutilizabil. La returnarea ambalajului și în baza bonului fiscal, garanția </w:t>
            </w:r>
            <w:r w:rsidR="00425695">
              <w:rPr>
                <w:rFonts w:ascii="Georgia" w:hAnsi="Georgia"/>
                <w:sz w:val="20"/>
              </w:rPr>
              <w:t>este</w:t>
            </w:r>
            <w:r w:rsidR="00522DF0">
              <w:rPr>
                <w:rFonts w:ascii="Georgia" w:hAnsi="Georgia"/>
                <w:sz w:val="20"/>
              </w:rPr>
              <w:t xml:space="preserve"> returnată de către comerciant către </w:t>
            </w:r>
            <w:r w:rsidR="00425695">
              <w:rPr>
                <w:rFonts w:ascii="Georgia" w:hAnsi="Georgia"/>
                <w:sz w:val="20"/>
              </w:rPr>
              <w:t>consumator</w:t>
            </w:r>
            <w:r w:rsidR="00522DF0">
              <w:rPr>
                <w:rFonts w:ascii="Georgia" w:hAnsi="Georgia"/>
                <w:sz w:val="20"/>
              </w:rPr>
              <w:t xml:space="preserve">. </w:t>
            </w:r>
          </w:p>
          <w:p w14:paraId="28EE6AF2" w14:textId="06266622" w:rsidR="009B2F57" w:rsidRDefault="00D554F2" w:rsidP="0098741F">
            <w:pPr>
              <w:pStyle w:val="BodyText"/>
              <w:spacing w:line="276" w:lineRule="auto"/>
              <w:jc w:val="both"/>
              <w:rPr>
                <w:rFonts w:ascii="Georgia" w:hAnsi="Georgia"/>
                <w:sz w:val="20"/>
              </w:rPr>
            </w:pPr>
            <w:r>
              <w:rPr>
                <w:rFonts w:ascii="Georgia" w:hAnsi="Georgia"/>
                <w:sz w:val="20"/>
              </w:rPr>
              <w:t>Prin Legea nr. 249/2015 se impune p</w:t>
            </w:r>
            <w:r w:rsidRPr="00D554F2">
              <w:rPr>
                <w:rFonts w:ascii="Georgia" w:hAnsi="Georgia"/>
                <w:sz w:val="20"/>
              </w:rPr>
              <w:t xml:space="preserve">reluarea ambalajelor reutilizabile astfel încât să realizeze un procentaj de returnare de minimum 80%. </w:t>
            </w:r>
            <w:r w:rsidR="00522DF0">
              <w:rPr>
                <w:rFonts w:ascii="Georgia" w:hAnsi="Georgia"/>
                <w:sz w:val="20"/>
              </w:rPr>
              <w:t xml:space="preserve">Având însă în vedere cantitatea preeminentă a ambalajelor nereutilizabile introduse pe piața națională, actualul sistem de garanție-returnare nu </w:t>
            </w:r>
            <w:r w:rsidR="0035004D">
              <w:rPr>
                <w:rFonts w:ascii="Georgia" w:hAnsi="Georgia"/>
                <w:sz w:val="20"/>
              </w:rPr>
              <w:t xml:space="preserve">asigură </w:t>
            </w:r>
            <w:r w:rsidR="0035004D" w:rsidRPr="00D554F2">
              <w:rPr>
                <w:rFonts w:ascii="Georgia" w:hAnsi="Georgia"/>
                <w:sz w:val="20"/>
              </w:rPr>
              <w:t>procentajul național de valorificare</w:t>
            </w:r>
            <w:r>
              <w:rPr>
                <w:rFonts w:ascii="Georgia" w:hAnsi="Georgia"/>
                <w:sz w:val="20"/>
              </w:rPr>
              <w:t>, care, pentru perioada 2019-2022 este de 60%.</w:t>
            </w:r>
          </w:p>
          <w:p w14:paraId="5E8361AE" w14:textId="2C0D4A26" w:rsidR="00EA1204" w:rsidRDefault="00EA1204" w:rsidP="0098741F">
            <w:pPr>
              <w:pStyle w:val="BodyText"/>
              <w:spacing w:line="276" w:lineRule="auto"/>
              <w:jc w:val="both"/>
              <w:rPr>
                <w:rFonts w:ascii="Georgia" w:hAnsi="Georgia"/>
                <w:sz w:val="20"/>
              </w:rPr>
            </w:pPr>
            <w:r>
              <w:rPr>
                <w:rFonts w:ascii="Georgia" w:hAnsi="Georgia"/>
                <w:sz w:val="20"/>
              </w:rPr>
              <w:t xml:space="preserve">La nivel european, cel mai târziu până </w:t>
            </w:r>
            <w:r w:rsidR="003C058F">
              <w:rPr>
                <w:rFonts w:ascii="Georgia" w:hAnsi="Georgia"/>
                <w:sz w:val="20"/>
              </w:rPr>
              <w:t>în anul</w:t>
            </w:r>
            <w:r>
              <w:rPr>
                <w:rFonts w:ascii="Georgia" w:hAnsi="Georgia"/>
                <w:sz w:val="20"/>
              </w:rPr>
              <w:t xml:space="preserve"> 2025, se impune a fi reciclat:</w:t>
            </w:r>
          </w:p>
          <w:p w14:paraId="386252B0" w14:textId="686E97D4" w:rsidR="00EA1204" w:rsidRDefault="00EA1204" w:rsidP="00EA1204">
            <w:pPr>
              <w:pStyle w:val="BodyText"/>
              <w:numPr>
                <w:ilvl w:val="0"/>
                <w:numId w:val="24"/>
              </w:numPr>
              <w:spacing w:line="276" w:lineRule="auto"/>
              <w:jc w:val="both"/>
              <w:rPr>
                <w:rFonts w:ascii="Georgia" w:hAnsi="Georgia"/>
                <w:sz w:val="20"/>
              </w:rPr>
            </w:pPr>
            <w:r>
              <w:rPr>
                <w:rFonts w:ascii="Georgia" w:hAnsi="Georgia"/>
                <w:sz w:val="20"/>
              </w:rPr>
              <w:t>minimum 65% din greutatea tuturor deșeurilor</w:t>
            </w:r>
            <w:r w:rsidR="003C058F">
              <w:rPr>
                <w:rFonts w:ascii="Georgia" w:hAnsi="Georgia"/>
                <w:sz w:val="20"/>
              </w:rPr>
              <w:t xml:space="preserve"> de ambalaje</w:t>
            </w:r>
            <w:r>
              <w:rPr>
                <w:rFonts w:ascii="Georgia" w:hAnsi="Georgia"/>
                <w:sz w:val="20"/>
              </w:rPr>
              <w:t xml:space="preserve">; </w:t>
            </w:r>
          </w:p>
          <w:p w14:paraId="4A951090" w14:textId="4D410A81" w:rsidR="00EC4E3E" w:rsidRDefault="00EC4E3E" w:rsidP="00EA1204">
            <w:pPr>
              <w:pStyle w:val="BodyText"/>
              <w:numPr>
                <w:ilvl w:val="0"/>
                <w:numId w:val="24"/>
              </w:numPr>
              <w:spacing w:line="276" w:lineRule="auto"/>
              <w:jc w:val="both"/>
              <w:rPr>
                <w:rFonts w:ascii="Georgia" w:hAnsi="Georgia"/>
                <w:sz w:val="20"/>
              </w:rPr>
            </w:pPr>
            <w:r w:rsidRPr="00EC4E3E">
              <w:rPr>
                <w:rFonts w:ascii="Georgia" w:hAnsi="Georgia"/>
                <w:sz w:val="20"/>
              </w:rPr>
              <w:t>50 % pentru plastic</w:t>
            </w:r>
            <w:r>
              <w:rPr>
                <w:rFonts w:ascii="Georgia" w:hAnsi="Georgia"/>
                <w:sz w:val="20"/>
              </w:rPr>
              <w:t xml:space="preserve">; </w:t>
            </w:r>
          </w:p>
          <w:p w14:paraId="533CCC21" w14:textId="08921532" w:rsidR="003C058F" w:rsidRDefault="003C058F" w:rsidP="00EA1204">
            <w:pPr>
              <w:pStyle w:val="BodyText"/>
              <w:numPr>
                <w:ilvl w:val="0"/>
                <w:numId w:val="24"/>
              </w:numPr>
              <w:spacing w:line="276" w:lineRule="auto"/>
              <w:jc w:val="both"/>
              <w:rPr>
                <w:rFonts w:ascii="Georgia" w:hAnsi="Georgia"/>
                <w:sz w:val="20"/>
              </w:rPr>
            </w:pPr>
            <w:r w:rsidRPr="003C058F">
              <w:rPr>
                <w:rFonts w:ascii="Georgia" w:hAnsi="Georgia"/>
                <w:sz w:val="20"/>
              </w:rPr>
              <w:t>77% pentru plasticul de unică folosință</w:t>
            </w:r>
            <w:r>
              <w:rPr>
                <w:rFonts w:ascii="Georgia" w:hAnsi="Georgia"/>
                <w:sz w:val="20"/>
              </w:rPr>
              <w:t>;</w:t>
            </w:r>
          </w:p>
          <w:p w14:paraId="1E1F11D5" w14:textId="19AB349F" w:rsidR="00EC4E3E" w:rsidRDefault="00EC4E3E" w:rsidP="00EA1204">
            <w:pPr>
              <w:pStyle w:val="BodyText"/>
              <w:numPr>
                <w:ilvl w:val="0"/>
                <w:numId w:val="24"/>
              </w:numPr>
              <w:spacing w:line="276" w:lineRule="auto"/>
              <w:jc w:val="both"/>
              <w:rPr>
                <w:rFonts w:ascii="Georgia" w:hAnsi="Georgia"/>
                <w:sz w:val="20"/>
              </w:rPr>
            </w:pPr>
            <w:r w:rsidRPr="00EC4E3E">
              <w:rPr>
                <w:rFonts w:ascii="Georgia" w:hAnsi="Georgia"/>
                <w:sz w:val="20"/>
              </w:rPr>
              <w:t>50 % pentru aluminiu;</w:t>
            </w:r>
          </w:p>
          <w:p w14:paraId="580E6B89" w14:textId="2B838890" w:rsidR="00EC4E3E" w:rsidRDefault="00EC4E3E" w:rsidP="00EA1204">
            <w:pPr>
              <w:pStyle w:val="BodyText"/>
              <w:numPr>
                <w:ilvl w:val="0"/>
                <w:numId w:val="24"/>
              </w:numPr>
              <w:spacing w:line="276" w:lineRule="auto"/>
              <w:jc w:val="both"/>
              <w:rPr>
                <w:rFonts w:ascii="Georgia" w:hAnsi="Georgia"/>
                <w:sz w:val="20"/>
              </w:rPr>
            </w:pPr>
            <w:r w:rsidRPr="00EC4E3E">
              <w:rPr>
                <w:rFonts w:ascii="Georgia" w:hAnsi="Georgia"/>
                <w:sz w:val="20"/>
              </w:rPr>
              <w:t>70 % pentru sticlă;</w:t>
            </w:r>
          </w:p>
          <w:p w14:paraId="701AD0E7" w14:textId="3BCE7CF4" w:rsidR="00EC4E3E" w:rsidRDefault="00EC4E3E" w:rsidP="00EA1204">
            <w:pPr>
              <w:pStyle w:val="BodyText"/>
              <w:numPr>
                <w:ilvl w:val="0"/>
                <w:numId w:val="24"/>
              </w:numPr>
              <w:spacing w:line="276" w:lineRule="auto"/>
              <w:jc w:val="both"/>
              <w:rPr>
                <w:rFonts w:ascii="Georgia" w:hAnsi="Georgia"/>
                <w:sz w:val="20"/>
              </w:rPr>
            </w:pPr>
            <w:r w:rsidRPr="00EC4E3E">
              <w:rPr>
                <w:rFonts w:ascii="Georgia" w:hAnsi="Georgia"/>
                <w:sz w:val="20"/>
              </w:rPr>
              <w:lastRenderedPageBreak/>
              <w:t>75 % pentru hârtie și carton;</w:t>
            </w:r>
          </w:p>
          <w:p w14:paraId="7B9C60BF" w14:textId="29356F85" w:rsidR="00EC4E3E" w:rsidRDefault="00EC4E3E" w:rsidP="00EA1204">
            <w:pPr>
              <w:pStyle w:val="BodyText"/>
              <w:numPr>
                <w:ilvl w:val="0"/>
                <w:numId w:val="24"/>
              </w:numPr>
              <w:spacing w:line="276" w:lineRule="auto"/>
              <w:jc w:val="both"/>
              <w:rPr>
                <w:rFonts w:ascii="Georgia" w:hAnsi="Georgia"/>
                <w:sz w:val="20"/>
              </w:rPr>
            </w:pPr>
            <w:r w:rsidRPr="00EC4E3E">
              <w:rPr>
                <w:rFonts w:ascii="Georgia" w:hAnsi="Georgia"/>
                <w:sz w:val="20"/>
              </w:rPr>
              <w:t>70 % pentru metale feroase;</w:t>
            </w:r>
          </w:p>
          <w:p w14:paraId="5B7C0735" w14:textId="77777777" w:rsidR="003C058F" w:rsidRDefault="00EC4E3E" w:rsidP="0098741F">
            <w:pPr>
              <w:pStyle w:val="BodyText"/>
              <w:numPr>
                <w:ilvl w:val="0"/>
                <w:numId w:val="24"/>
              </w:numPr>
              <w:spacing w:line="276" w:lineRule="auto"/>
              <w:jc w:val="both"/>
              <w:rPr>
                <w:rFonts w:ascii="Georgia" w:hAnsi="Georgia"/>
                <w:sz w:val="20"/>
              </w:rPr>
            </w:pPr>
            <w:r w:rsidRPr="00EC4E3E">
              <w:rPr>
                <w:rFonts w:ascii="Georgia" w:hAnsi="Georgia"/>
                <w:sz w:val="20"/>
              </w:rPr>
              <w:t>25 % pentru lemn</w:t>
            </w:r>
            <w:r w:rsidR="003C058F">
              <w:rPr>
                <w:rFonts w:ascii="Georgia" w:hAnsi="Georgia"/>
                <w:sz w:val="20"/>
              </w:rPr>
              <w:t>.</w:t>
            </w:r>
          </w:p>
          <w:p w14:paraId="3FCB2744" w14:textId="5A8FD8C6" w:rsidR="00E5071D" w:rsidRPr="003C058F" w:rsidRDefault="00E5071D" w:rsidP="003C058F">
            <w:pPr>
              <w:pStyle w:val="BodyText"/>
              <w:spacing w:line="276" w:lineRule="auto"/>
              <w:jc w:val="both"/>
              <w:rPr>
                <w:rFonts w:ascii="Georgia" w:hAnsi="Georgia"/>
                <w:sz w:val="20"/>
              </w:rPr>
            </w:pPr>
            <w:r w:rsidRPr="003C058F">
              <w:rPr>
                <w:rFonts w:ascii="Georgia" w:hAnsi="Georgia"/>
                <w:sz w:val="20"/>
              </w:rPr>
              <w:t xml:space="preserve">Conform </w:t>
            </w:r>
            <w:r w:rsidRPr="003C058F">
              <w:rPr>
                <w:rFonts w:ascii="Georgia" w:hAnsi="Georgia"/>
                <w:i/>
                <w:iCs/>
                <w:color w:val="auto"/>
                <w:sz w:val="20"/>
              </w:rPr>
              <w:t>„Studiului privind evaluarea sistemului de garanție, componentă a sistemului de gestionare a deșeurilor în România”</w:t>
            </w:r>
            <w:r w:rsidRPr="003C058F">
              <w:rPr>
                <w:rFonts w:ascii="Georgia" w:hAnsi="Georgia"/>
                <w:color w:val="auto"/>
                <w:sz w:val="20"/>
              </w:rPr>
              <w:t>, elaborat de Academia de Studii Economice din București în anul 2020, în România se colectează aproximativ 5,2 milioane de tone de deșeu municipal dintre care:</w:t>
            </w:r>
          </w:p>
          <w:p w14:paraId="00E05922" w14:textId="1F220706" w:rsidR="00E5071D" w:rsidRPr="00E5071D" w:rsidRDefault="00E5071D" w:rsidP="00E5071D">
            <w:pPr>
              <w:pStyle w:val="BodyText"/>
              <w:numPr>
                <w:ilvl w:val="0"/>
                <w:numId w:val="24"/>
              </w:numPr>
              <w:spacing w:line="276" w:lineRule="auto"/>
              <w:jc w:val="both"/>
              <w:rPr>
                <w:rFonts w:ascii="Georgia" w:hAnsi="Georgia"/>
                <w:sz w:val="20"/>
              </w:rPr>
            </w:pPr>
            <w:r>
              <w:rPr>
                <w:rFonts w:ascii="Georgia" w:hAnsi="Georgia"/>
                <w:color w:val="auto"/>
                <w:sz w:val="20"/>
              </w:rPr>
              <w:t xml:space="preserve">4,3 milioane de tone de deșeuri provin din deșeuri menajere; </w:t>
            </w:r>
          </w:p>
          <w:p w14:paraId="6D3CD2AA" w14:textId="636D54E4" w:rsidR="00E5071D" w:rsidRPr="00E5071D" w:rsidRDefault="00E5071D" w:rsidP="00E5071D">
            <w:pPr>
              <w:pStyle w:val="BodyText"/>
              <w:numPr>
                <w:ilvl w:val="0"/>
                <w:numId w:val="24"/>
              </w:numPr>
              <w:spacing w:line="276" w:lineRule="auto"/>
              <w:jc w:val="both"/>
              <w:rPr>
                <w:rFonts w:ascii="Georgia" w:hAnsi="Georgia"/>
                <w:sz w:val="20"/>
              </w:rPr>
            </w:pPr>
            <w:r>
              <w:rPr>
                <w:rFonts w:ascii="Georgia" w:hAnsi="Georgia"/>
                <w:color w:val="auto"/>
                <w:sz w:val="20"/>
              </w:rPr>
              <w:t xml:space="preserve">700.000 tone de deșeuri provin din servicii municipale. </w:t>
            </w:r>
          </w:p>
          <w:p w14:paraId="745E9361" w14:textId="08234EFB" w:rsidR="00E5071D" w:rsidRDefault="00E5071D" w:rsidP="00E5071D">
            <w:pPr>
              <w:pStyle w:val="BodyText"/>
              <w:spacing w:line="276" w:lineRule="auto"/>
              <w:jc w:val="both"/>
              <w:rPr>
                <w:rFonts w:ascii="Georgia" w:hAnsi="Georgia"/>
                <w:color w:val="auto"/>
                <w:sz w:val="20"/>
              </w:rPr>
            </w:pPr>
            <w:r>
              <w:rPr>
                <w:rFonts w:ascii="Georgia" w:hAnsi="Georgia"/>
                <w:color w:val="auto"/>
                <w:sz w:val="20"/>
              </w:rPr>
              <w:t xml:space="preserve">Peste 86% din cantitățile colectate </w:t>
            </w:r>
            <w:r w:rsidR="00425695">
              <w:rPr>
                <w:rFonts w:ascii="Georgia" w:hAnsi="Georgia"/>
                <w:color w:val="auto"/>
                <w:sz w:val="20"/>
              </w:rPr>
              <w:t>sunt</w:t>
            </w:r>
            <w:r>
              <w:rPr>
                <w:rFonts w:ascii="Georgia" w:hAnsi="Georgia"/>
                <w:color w:val="auto"/>
                <w:sz w:val="20"/>
              </w:rPr>
              <w:t xml:space="preserve"> tratate prin eliminare și numai un procent de 13% din cantitatea totală de deșeuri </w:t>
            </w:r>
            <w:r w:rsidR="00425695">
              <w:rPr>
                <w:rFonts w:ascii="Georgia" w:hAnsi="Georgia"/>
                <w:color w:val="auto"/>
                <w:sz w:val="20"/>
              </w:rPr>
              <w:t>este</w:t>
            </w:r>
            <w:r>
              <w:rPr>
                <w:rFonts w:ascii="Georgia" w:hAnsi="Georgia"/>
                <w:color w:val="auto"/>
                <w:sz w:val="20"/>
              </w:rPr>
              <w:t xml:space="preserve"> reciclată. </w:t>
            </w:r>
          </w:p>
          <w:p w14:paraId="513E9597" w14:textId="6EB8D34F" w:rsidR="00425695" w:rsidRPr="00425695" w:rsidRDefault="00425695" w:rsidP="00425695">
            <w:pPr>
              <w:pStyle w:val="BodyText"/>
              <w:spacing w:line="276" w:lineRule="auto"/>
              <w:jc w:val="both"/>
              <w:rPr>
                <w:rFonts w:ascii="Georgia" w:hAnsi="Georgia"/>
                <w:color w:val="auto"/>
                <w:sz w:val="20"/>
              </w:rPr>
            </w:pPr>
            <w:r w:rsidRPr="00425695">
              <w:rPr>
                <w:rFonts w:ascii="Georgia" w:hAnsi="Georgia"/>
                <w:color w:val="auto"/>
                <w:sz w:val="20"/>
              </w:rPr>
              <w:t>Începând cu data de 1 ianuarie 2019, obligațiile privind răspunderea extinsă a producătorului se realizează:</w:t>
            </w:r>
          </w:p>
          <w:p w14:paraId="516B9BF5" w14:textId="438F70DD" w:rsidR="00425695" w:rsidRPr="00425695" w:rsidRDefault="00425695" w:rsidP="00425695">
            <w:pPr>
              <w:pStyle w:val="BodyText"/>
              <w:spacing w:line="276" w:lineRule="auto"/>
              <w:jc w:val="both"/>
              <w:rPr>
                <w:rFonts w:ascii="Georgia" w:hAnsi="Georgia"/>
                <w:color w:val="auto"/>
                <w:sz w:val="20"/>
              </w:rPr>
            </w:pPr>
            <w:r w:rsidRPr="00425695">
              <w:rPr>
                <w:rFonts w:ascii="Georgia" w:hAnsi="Georgia"/>
                <w:color w:val="auto"/>
                <w:sz w:val="20"/>
              </w:rPr>
              <w:t>a) individual, prin gestionarea propriilor ambalaje introduse pe piață națională;</w:t>
            </w:r>
          </w:p>
          <w:p w14:paraId="4D99B425" w14:textId="24111544" w:rsidR="00425695" w:rsidRDefault="00425695" w:rsidP="00425695">
            <w:pPr>
              <w:pStyle w:val="BodyText"/>
              <w:spacing w:line="276" w:lineRule="auto"/>
              <w:jc w:val="both"/>
              <w:rPr>
                <w:rFonts w:ascii="Georgia" w:hAnsi="Georgia"/>
                <w:color w:val="auto"/>
                <w:sz w:val="20"/>
              </w:rPr>
            </w:pPr>
            <w:r w:rsidRPr="00425695">
              <w:rPr>
                <w:rFonts w:ascii="Georgia" w:hAnsi="Georgia"/>
                <w:color w:val="auto"/>
                <w:sz w:val="20"/>
              </w:rPr>
              <w:t>b) prin intermediul unei organizații care implementează obligațiile privind răspunderea extinsă a producătorului</w:t>
            </w:r>
            <w:r>
              <w:rPr>
                <w:rFonts w:ascii="Georgia" w:hAnsi="Georgia"/>
                <w:color w:val="auto"/>
                <w:sz w:val="20"/>
              </w:rPr>
              <w:t xml:space="preserve"> (OIREP), </w:t>
            </w:r>
            <w:r w:rsidRPr="00425695">
              <w:rPr>
                <w:rFonts w:ascii="Georgia" w:hAnsi="Georgia"/>
                <w:color w:val="auto"/>
                <w:sz w:val="20"/>
              </w:rPr>
              <w:t>pe tip de material și pe tip de ambalaj.</w:t>
            </w:r>
          </w:p>
          <w:p w14:paraId="201CDC3D" w14:textId="5A8AD07C" w:rsidR="00425695" w:rsidRDefault="003C058F" w:rsidP="00E5071D">
            <w:pPr>
              <w:pStyle w:val="BodyText"/>
              <w:spacing w:line="276" w:lineRule="auto"/>
              <w:jc w:val="both"/>
              <w:rPr>
                <w:rFonts w:ascii="Georgia" w:hAnsi="Georgia"/>
                <w:sz w:val="20"/>
              </w:rPr>
            </w:pPr>
            <w:r>
              <w:rPr>
                <w:rFonts w:ascii="Georgia" w:hAnsi="Georgia"/>
                <w:sz w:val="20"/>
              </w:rPr>
              <w:t>Ținând cont de</w:t>
            </w:r>
            <w:r w:rsidR="00425695" w:rsidRPr="00425695">
              <w:rPr>
                <w:rFonts w:ascii="Georgia" w:hAnsi="Georgia"/>
                <w:sz w:val="20"/>
              </w:rPr>
              <w:t xml:space="preserve"> situația </w:t>
            </w:r>
            <w:r>
              <w:rPr>
                <w:rFonts w:ascii="Georgia" w:hAnsi="Georgia"/>
                <w:sz w:val="20"/>
              </w:rPr>
              <w:t xml:space="preserve">națională și de pragul de reciclare actual, </w:t>
            </w:r>
            <w:r w:rsidR="00425695" w:rsidRPr="00425695">
              <w:rPr>
                <w:rFonts w:ascii="Georgia" w:hAnsi="Georgia"/>
                <w:sz w:val="20"/>
              </w:rPr>
              <w:t>trebuie inclusă în schema de răspundere extinsă a producătorilor inclusiv implementarea și gestionarea sistemului de garanție-returnare pentru ambalaje nereutilizabile, în legătură cu care producătorii trebuie să poarte responsabilitatea financiară și organizatorică.</w:t>
            </w:r>
          </w:p>
          <w:p w14:paraId="19284A8D" w14:textId="3913D403" w:rsidR="00425695" w:rsidRDefault="00425695" w:rsidP="00E5071D">
            <w:pPr>
              <w:pStyle w:val="BodyText"/>
              <w:spacing w:line="276" w:lineRule="auto"/>
              <w:jc w:val="both"/>
              <w:rPr>
                <w:rFonts w:ascii="Georgia" w:hAnsi="Georgia"/>
                <w:sz w:val="20"/>
              </w:rPr>
            </w:pPr>
            <w:r w:rsidRPr="00425695">
              <w:rPr>
                <w:rFonts w:ascii="Georgia" w:hAnsi="Georgia"/>
                <w:sz w:val="20"/>
              </w:rPr>
              <w:t>Astfel, producătorii vor avea obligația de a asigura costurile necesare pentru îndeplinirea obiectivelor minime de colectare, inclusiv costurile privind valoarea garanțiilor aferente ambalajelor nereutilizabile introduse sau făcute disponibile pe piața națională și a tarifului de administrare. Sunt asimilați producătorilor și importatorii de produse în ambalaje SGR.</w:t>
            </w:r>
          </w:p>
          <w:p w14:paraId="02BABDCD" w14:textId="56957C37" w:rsidR="00D43998" w:rsidRPr="001D67D9" w:rsidRDefault="00D43998" w:rsidP="0098741F">
            <w:pPr>
              <w:pStyle w:val="BodyText"/>
              <w:spacing w:line="276" w:lineRule="auto"/>
              <w:jc w:val="both"/>
              <w:rPr>
                <w:rFonts w:ascii="Georgia" w:hAnsi="Georgia"/>
                <w:sz w:val="20"/>
              </w:rPr>
            </w:pPr>
            <w:r w:rsidRPr="001D67D9">
              <w:rPr>
                <w:rFonts w:ascii="Georgia" w:hAnsi="Georgia"/>
                <w:sz w:val="20"/>
              </w:rPr>
              <w:t xml:space="preserve">Prezentul proiect de act normativ instituie regulile necesare, suficiente și posibile pentru implementarea sistemului de garanție-returnare pentru ambalajele primare nereutilizabile din sticlă, plastic sau metal, cu volume cuprinse între 0,1 l și 3 l inclusiv, utilizate pentru bere, mixuri de bere, mixuri de băuturi alcoolice, cidru, alte băuturi fermentate, sucuri, nectaruri, băuturi răcoritoare, ape minerale și ape de băut de orice fel, vinuri și spirtoase introduse sau făcute disponibile pe piața din România. </w:t>
            </w:r>
          </w:p>
          <w:p w14:paraId="544F8DF8" w14:textId="5A7BCBFF" w:rsidR="00F05584" w:rsidRPr="001D67D9" w:rsidRDefault="00F05584" w:rsidP="0098741F">
            <w:pPr>
              <w:pStyle w:val="BodyText"/>
              <w:spacing w:line="276" w:lineRule="auto"/>
              <w:jc w:val="both"/>
              <w:rPr>
                <w:rFonts w:ascii="Georgia" w:hAnsi="Georgia"/>
                <w:sz w:val="20"/>
              </w:rPr>
            </w:pPr>
            <w:r w:rsidRPr="001D67D9">
              <w:rPr>
                <w:rFonts w:ascii="Georgia" w:hAnsi="Georgia"/>
                <w:sz w:val="20"/>
              </w:rPr>
              <w:t>De la aplicarea sistemului de garanție-returnare</w:t>
            </w:r>
            <w:r w:rsidR="00DA7F3F" w:rsidRPr="001D67D9">
              <w:rPr>
                <w:rFonts w:ascii="Georgia" w:hAnsi="Georgia"/>
                <w:sz w:val="20"/>
              </w:rPr>
              <w:t xml:space="preserve"> </w:t>
            </w:r>
            <w:r w:rsidRPr="001D67D9">
              <w:rPr>
                <w:rFonts w:ascii="Georgia" w:hAnsi="Georgia"/>
                <w:sz w:val="20"/>
              </w:rPr>
              <w:t xml:space="preserve">vor fi </w:t>
            </w:r>
            <w:r w:rsidR="00010BC5" w:rsidRPr="001D67D9">
              <w:rPr>
                <w:rFonts w:ascii="Georgia" w:hAnsi="Georgia"/>
                <w:sz w:val="20"/>
              </w:rPr>
              <w:t>excluse produsele exportate, produsele comercializate în magazine tip duty-free și cele comercializate în mijloacele de transport internațional.</w:t>
            </w:r>
            <w:r w:rsidRPr="001D67D9">
              <w:rPr>
                <w:rFonts w:ascii="Georgia" w:hAnsi="Georgia"/>
                <w:sz w:val="20"/>
              </w:rPr>
              <w:t xml:space="preserve"> </w:t>
            </w:r>
          </w:p>
          <w:p w14:paraId="6467C447" w14:textId="1ED6D29F" w:rsidR="003C058F" w:rsidRDefault="00467042" w:rsidP="0098741F">
            <w:pPr>
              <w:pStyle w:val="BodyText"/>
              <w:spacing w:line="276" w:lineRule="auto"/>
              <w:jc w:val="both"/>
              <w:rPr>
                <w:rFonts w:ascii="Georgia" w:hAnsi="Georgia"/>
                <w:sz w:val="20"/>
              </w:rPr>
            </w:pPr>
            <w:r w:rsidRPr="001D67D9">
              <w:rPr>
                <w:rFonts w:ascii="Georgia" w:hAnsi="Georgia"/>
                <w:sz w:val="20"/>
              </w:rPr>
              <w:t>Înființarea Administratorului își propune uniformizarea și menținerea unei coerențe în implementarea sistemului de garanție-returnare</w:t>
            </w:r>
            <w:r w:rsidR="00425695">
              <w:rPr>
                <w:rFonts w:ascii="Georgia" w:hAnsi="Georgia"/>
                <w:sz w:val="20"/>
              </w:rPr>
              <w:t>,</w:t>
            </w:r>
            <w:r w:rsidRPr="001D67D9">
              <w:rPr>
                <w:rFonts w:ascii="Georgia" w:hAnsi="Georgia"/>
                <w:sz w:val="20"/>
              </w:rPr>
              <w:t xml:space="preserve"> la nivel național. Mai mult, fiind o entitate ce va funcționa pe întreg teritoriul României, </w:t>
            </w:r>
            <w:r w:rsidR="00DA7F3F" w:rsidRPr="001D67D9">
              <w:rPr>
                <w:rFonts w:ascii="Georgia" w:hAnsi="Georgia"/>
                <w:sz w:val="20"/>
              </w:rPr>
              <w:t>este</w:t>
            </w:r>
            <w:r w:rsidRPr="001D67D9">
              <w:rPr>
                <w:rFonts w:ascii="Georgia" w:hAnsi="Georgia"/>
                <w:sz w:val="20"/>
              </w:rPr>
              <w:t xml:space="preserve"> satisfăcut dezideratul de a </w:t>
            </w:r>
            <w:r w:rsidR="003C058F">
              <w:rPr>
                <w:rFonts w:ascii="Georgia" w:hAnsi="Georgia"/>
                <w:sz w:val="20"/>
              </w:rPr>
              <w:t xml:space="preserve">da posibilitatea </w:t>
            </w:r>
            <w:r w:rsidRPr="001D67D9">
              <w:rPr>
                <w:rFonts w:ascii="Georgia" w:hAnsi="Georgia"/>
                <w:sz w:val="20"/>
              </w:rPr>
              <w:t>consumatorilor finali să își poată recupera garanția indiferent de locul inițial de cumpărare</w:t>
            </w:r>
            <w:r w:rsidR="003C058F">
              <w:rPr>
                <w:rFonts w:ascii="Georgia" w:hAnsi="Georgia"/>
                <w:sz w:val="20"/>
              </w:rPr>
              <w:t xml:space="preserve">. În acest mod, </w:t>
            </w:r>
            <w:r w:rsidRPr="001D67D9">
              <w:rPr>
                <w:rFonts w:ascii="Georgia" w:hAnsi="Georgia"/>
                <w:sz w:val="20"/>
              </w:rPr>
              <w:t xml:space="preserve">returnarea </w:t>
            </w:r>
            <w:r w:rsidR="003C058F">
              <w:rPr>
                <w:rFonts w:ascii="Georgia" w:hAnsi="Georgia"/>
                <w:sz w:val="20"/>
              </w:rPr>
              <w:t>va fi</w:t>
            </w:r>
            <w:r w:rsidRPr="001D67D9">
              <w:rPr>
                <w:rFonts w:ascii="Georgia" w:hAnsi="Georgia"/>
                <w:sz w:val="20"/>
              </w:rPr>
              <w:t xml:space="preserve"> mai facilă, ceea ce va conduce la creșterea cantității de materiale colectate.</w:t>
            </w:r>
            <w:r w:rsidR="00080683" w:rsidRPr="001D67D9">
              <w:rPr>
                <w:rFonts w:ascii="Georgia" w:hAnsi="Georgia"/>
                <w:sz w:val="20"/>
              </w:rPr>
              <w:t xml:space="preserve"> </w:t>
            </w:r>
          </w:p>
          <w:p w14:paraId="325AD73C" w14:textId="4C9CA5A6" w:rsidR="00437497" w:rsidRPr="00E31171" w:rsidRDefault="00437497" w:rsidP="0098741F">
            <w:pPr>
              <w:pStyle w:val="BodyText"/>
              <w:spacing w:line="276" w:lineRule="auto"/>
              <w:jc w:val="both"/>
              <w:rPr>
                <w:rFonts w:ascii="Georgia" w:hAnsi="Georgia"/>
                <w:sz w:val="20"/>
              </w:rPr>
            </w:pPr>
            <w:r w:rsidRPr="00E31171">
              <w:rPr>
                <w:rFonts w:ascii="Georgia" w:hAnsi="Georgia"/>
                <w:sz w:val="20"/>
              </w:rPr>
              <w:t xml:space="preserve">Activitatea Administratorului nu va putea fi </w:t>
            </w:r>
            <w:r w:rsidR="00E31171" w:rsidRPr="00E31171">
              <w:rPr>
                <w:rFonts w:ascii="Georgia" w:hAnsi="Georgia"/>
                <w:sz w:val="20"/>
              </w:rPr>
              <w:t>desfășurată</w:t>
            </w:r>
            <w:r w:rsidRPr="00E31171">
              <w:rPr>
                <w:rFonts w:ascii="Georgia" w:hAnsi="Georgia"/>
                <w:sz w:val="20"/>
              </w:rPr>
              <w:t xml:space="preserve"> astfel</w:t>
            </w:r>
            <w:r w:rsidR="00E31171" w:rsidRPr="00E31171">
              <w:rPr>
                <w:rFonts w:ascii="Georgia" w:hAnsi="Georgia"/>
                <w:sz w:val="20"/>
              </w:rPr>
              <w:t xml:space="preserve"> încât</w:t>
            </w:r>
            <w:r w:rsidRPr="00E31171">
              <w:rPr>
                <w:rFonts w:ascii="Georgia" w:hAnsi="Georgia"/>
                <w:sz w:val="20"/>
              </w:rPr>
              <w:t xml:space="preserve"> să urmărească obținerea de profit, acesta având obligația de a reinvesti și de a utiliza toate veniturile înregistrate în scopul implementării</w:t>
            </w:r>
            <w:r w:rsidR="00E31171" w:rsidRPr="00E31171">
              <w:rPr>
                <w:rFonts w:ascii="Georgia" w:hAnsi="Georgia"/>
                <w:sz w:val="20"/>
              </w:rPr>
              <w:t xml:space="preserve">, </w:t>
            </w:r>
            <w:r w:rsidRPr="00E31171">
              <w:rPr>
                <w:rFonts w:ascii="Georgia" w:hAnsi="Georgia"/>
                <w:sz w:val="20"/>
              </w:rPr>
              <w:t xml:space="preserve">funcționării </w:t>
            </w:r>
            <w:r w:rsidR="00E31171" w:rsidRPr="00E31171">
              <w:rPr>
                <w:rFonts w:ascii="Georgia" w:hAnsi="Georgia"/>
                <w:sz w:val="20"/>
              </w:rPr>
              <w:t xml:space="preserve">și creșterii performanței </w:t>
            </w:r>
            <w:r w:rsidRPr="00E31171">
              <w:rPr>
                <w:rFonts w:ascii="Georgia" w:hAnsi="Georgia"/>
                <w:sz w:val="20"/>
              </w:rPr>
              <w:t>sistemului de garanție-returnare</w:t>
            </w:r>
            <w:r w:rsidR="00E31171" w:rsidRPr="00E31171">
              <w:rPr>
                <w:rFonts w:ascii="Georgia" w:hAnsi="Georgia"/>
                <w:sz w:val="20"/>
              </w:rPr>
              <w:t>.</w:t>
            </w:r>
          </w:p>
          <w:p w14:paraId="0EA7539A" w14:textId="3971248A" w:rsidR="006E67C8" w:rsidRPr="003C058F" w:rsidRDefault="00080683" w:rsidP="006E67C8">
            <w:pPr>
              <w:pStyle w:val="BodyText"/>
              <w:spacing w:line="276" w:lineRule="auto"/>
              <w:jc w:val="both"/>
              <w:rPr>
                <w:rFonts w:ascii="Georgia" w:hAnsi="Georgia"/>
                <w:sz w:val="20"/>
              </w:rPr>
            </w:pPr>
            <w:r w:rsidRPr="00E31171">
              <w:rPr>
                <w:rFonts w:ascii="Georgia" w:hAnsi="Georgia"/>
                <w:sz w:val="20"/>
              </w:rPr>
              <w:t>Administratorul sistemului</w:t>
            </w:r>
            <w:r w:rsidRPr="001D67D9">
              <w:rPr>
                <w:rFonts w:ascii="Georgia" w:hAnsi="Georgia"/>
                <w:sz w:val="20"/>
              </w:rPr>
              <w:t xml:space="preserve"> va acționa în condiții nediscriminatorii atât față de operatorii economici cu care va contract</w:t>
            </w:r>
            <w:r w:rsidR="00216160">
              <w:rPr>
                <w:rFonts w:ascii="Georgia" w:hAnsi="Georgia"/>
                <w:sz w:val="20"/>
              </w:rPr>
              <w:t>a</w:t>
            </w:r>
            <w:r w:rsidRPr="001D67D9">
              <w:rPr>
                <w:rFonts w:ascii="Georgia" w:hAnsi="Georgia"/>
                <w:sz w:val="20"/>
              </w:rPr>
              <w:t>, cât și față de consumatorii finali</w:t>
            </w:r>
            <w:r w:rsidR="003C058F">
              <w:rPr>
                <w:rFonts w:ascii="Georgia" w:hAnsi="Georgia"/>
                <w:sz w:val="20"/>
              </w:rPr>
              <w:t xml:space="preserve">, care </w:t>
            </w:r>
            <w:r w:rsidR="006E67C8" w:rsidRPr="006E67C8">
              <w:rPr>
                <w:rFonts w:ascii="Georgia" w:hAnsi="Georgia"/>
                <w:color w:val="auto"/>
                <w:sz w:val="20"/>
              </w:rPr>
              <w:t xml:space="preserve">trebuie să fie stimulați </w:t>
            </w:r>
            <w:r w:rsidR="006E67C8">
              <w:rPr>
                <w:rFonts w:ascii="Georgia" w:hAnsi="Georgia"/>
                <w:color w:val="auto"/>
                <w:sz w:val="20"/>
              </w:rPr>
              <w:t xml:space="preserve">și sprijiniți să adopte un </w:t>
            </w:r>
            <w:r w:rsidR="006E67C8" w:rsidRPr="006E67C8">
              <w:rPr>
                <w:rFonts w:ascii="Georgia" w:hAnsi="Georgia"/>
                <w:color w:val="auto"/>
                <w:sz w:val="20"/>
              </w:rPr>
              <w:t xml:space="preserve"> comportament</w:t>
            </w:r>
            <w:r w:rsidR="006E67C8">
              <w:rPr>
                <w:rFonts w:ascii="Georgia" w:hAnsi="Georgia"/>
                <w:color w:val="auto"/>
                <w:sz w:val="20"/>
              </w:rPr>
              <w:t xml:space="preserve"> responsabil prin</w:t>
            </w:r>
            <w:r w:rsidR="006E67C8" w:rsidRPr="006E67C8">
              <w:rPr>
                <w:rFonts w:ascii="Georgia" w:hAnsi="Georgia"/>
                <w:color w:val="auto"/>
                <w:sz w:val="20"/>
              </w:rPr>
              <w:t xml:space="preserve"> campanii de sensibilizare </w:t>
            </w:r>
            <w:r w:rsidR="006E67C8">
              <w:rPr>
                <w:rFonts w:ascii="Georgia" w:hAnsi="Georgia"/>
                <w:color w:val="auto"/>
                <w:sz w:val="20"/>
              </w:rPr>
              <w:t xml:space="preserve">promovate de către </w:t>
            </w:r>
            <w:r w:rsidR="006E67C8" w:rsidRPr="006E67C8">
              <w:rPr>
                <w:rFonts w:ascii="Georgia" w:hAnsi="Georgia"/>
                <w:color w:val="auto"/>
                <w:sz w:val="20"/>
              </w:rPr>
              <w:t xml:space="preserve"> </w:t>
            </w:r>
            <w:r w:rsidR="006E67C8">
              <w:rPr>
                <w:rFonts w:ascii="Georgia" w:hAnsi="Georgia"/>
                <w:color w:val="auto"/>
                <w:sz w:val="20"/>
              </w:rPr>
              <w:t xml:space="preserve">toți operatorii economici implicați. </w:t>
            </w:r>
          </w:p>
          <w:p w14:paraId="0B7939BC" w14:textId="64B97238" w:rsidR="006A4BA3" w:rsidRPr="001D67D9" w:rsidRDefault="006A4BA3" w:rsidP="006E67C8">
            <w:pPr>
              <w:pStyle w:val="BodyText"/>
              <w:spacing w:line="276" w:lineRule="auto"/>
              <w:jc w:val="both"/>
              <w:rPr>
                <w:rFonts w:ascii="Georgia" w:hAnsi="Georgia"/>
                <w:color w:val="auto"/>
                <w:sz w:val="20"/>
              </w:rPr>
            </w:pPr>
          </w:p>
        </w:tc>
      </w:tr>
      <w:tr w:rsidR="00752A7F" w:rsidRPr="001D67D9" w14:paraId="31C87AD3" w14:textId="77777777" w:rsidTr="002D52F7">
        <w:trPr>
          <w:trHeight w:val="503"/>
        </w:trPr>
        <w:tc>
          <w:tcPr>
            <w:tcW w:w="2106" w:type="dxa"/>
            <w:gridSpan w:val="2"/>
          </w:tcPr>
          <w:p w14:paraId="10638F7D" w14:textId="29D9D368" w:rsidR="00752A7F" w:rsidRPr="001D67D9" w:rsidRDefault="00752A7F" w:rsidP="00752A7F">
            <w:pPr>
              <w:rPr>
                <w:rFonts w:ascii="Georgia" w:hAnsi="Georgia"/>
                <w:color w:val="auto"/>
                <w:sz w:val="20"/>
              </w:rPr>
            </w:pPr>
            <w:r w:rsidRPr="00216160">
              <w:rPr>
                <w:rFonts w:ascii="Georgia" w:hAnsi="Georgia"/>
                <w:color w:val="auto"/>
                <w:sz w:val="20"/>
              </w:rPr>
              <w:lastRenderedPageBreak/>
              <w:t>1</w:t>
            </w:r>
            <w:r w:rsidRPr="00216160">
              <w:rPr>
                <w:rFonts w:ascii="Georgia" w:hAnsi="Georgia"/>
                <w:color w:val="auto"/>
                <w:sz w:val="20"/>
                <w:vertAlign w:val="superscript"/>
              </w:rPr>
              <w:t>1</w:t>
            </w:r>
            <w:r w:rsidRPr="00216160">
              <w:rPr>
                <w:rFonts w:ascii="Georgia" w:hAnsi="Georgia"/>
                <w:color w:val="auto"/>
                <w:sz w:val="20"/>
              </w:rPr>
              <w:t xml:space="preserve"> În cazul proiectelor de acte normative care transpun legislație comunitară sau creează cadrul pentru aplicarea directă a acesteia.</w:t>
            </w:r>
          </w:p>
        </w:tc>
        <w:tc>
          <w:tcPr>
            <w:tcW w:w="7884" w:type="dxa"/>
            <w:gridSpan w:val="3"/>
            <w:shd w:val="clear" w:color="auto" w:fill="auto"/>
          </w:tcPr>
          <w:p w14:paraId="046E147F" w14:textId="77777777" w:rsidR="00010D6C" w:rsidRPr="00010D6C" w:rsidRDefault="00010D6C" w:rsidP="00010D6C">
            <w:pPr>
              <w:pStyle w:val="BodyText"/>
              <w:jc w:val="both"/>
              <w:rPr>
                <w:rFonts w:ascii="Georgia" w:hAnsi="Georgia"/>
                <w:color w:val="auto"/>
                <w:sz w:val="20"/>
              </w:rPr>
            </w:pPr>
            <w:r w:rsidRPr="00010D6C">
              <w:rPr>
                <w:rFonts w:ascii="Georgia" w:hAnsi="Georgia"/>
                <w:color w:val="auto"/>
                <w:sz w:val="20"/>
              </w:rPr>
              <w:t>Directiva (UE) 904/2019 a Parlamentului European și a Consiliului din 5 iunie 2019 privind reducerea impactului anumitor produse din plastic asupra mediului, stabilește un obiectiv de colectare de 90% pentru sticlele de plastic până în 2029, cu un obiectiv intermediar de 77% până în 2025.</w:t>
            </w:r>
          </w:p>
          <w:p w14:paraId="0E15005D" w14:textId="77777777" w:rsidR="00010D6C" w:rsidRPr="00010D6C" w:rsidRDefault="00010D6C" w:rsidP="00010D6C">
            <w:pPr>
              <w:pStyle w:val="BodyText"/>
              <w:jc w:val="both"/>
              <w:rPr>
                <w:rFonts w:ascii="Georgia" w:hAnsi="Georgia"/>
                <w:color w:val="auto"/>
                <w:sz w:val="20"/>
              </w:rPr>
            </w:pPr>
            <w:r w:rsidRPr="00010D6C">
              <w:rPr>
                <w:rFonts w:ascii="Georgia" w:hAnsi="Georgia"/>
                <w:color w:val="auto"/>
                <w:sz w:val="20"/>
              </w:rPr>
              <w:t xml:space="preserve">UE nu specifică obligația de operarea unui sistem de garanție returnare, dar art. 9 alin (1) literele a și b din Directiva 904/2019, prevăd că statele membre iau masurile necesare pentru a asigura colectarea separată în vederea reciclarii până în 2025, a unei cantități de produse din plastic de unică folosință enumerate în partea F din anexa la Directiva 904/2019 egală cu 77 %, ca greutate din produsele de plastic de unică folosință introduse pe piață într-un anumit an și până în 2029, a unei cantități de produse din plastic de unică folosință, enumerate în partea F din anexa la Directiva 904/2019, egală cu 90% ca greutate din produele de plastic de unică folosință introduse pe piață într-un anumit an. </w:t>
            </w:r>
          </w:p>
          <w:p w14:paraId="56846FF9" w14:textId="7AEB4B0C" w:rsidR="00752A7F" w:rsidRPr="00010D6C" w:rsidRDefault="00010D6C" w:rsidP="00010D6C">
            <w:pPr>
              <w:pStyle w:val="BodyText"/>
              <w:jc w:val="both"/>
              <w:rPr>
                <w:rFonts w:ascii="Georgia" w:hAnsi="Georgia"/>
                <w:color w:val="auto"/>
                <w:sz w:val="20"/>
              </w:rPr>
            </w:pPr>
            <w:r w:rsidRPr="00010D6C">
              <w:rPr>
                <w:rFonts w:ascii="Georgia" w:hAnsi="Georgia"/>
                <w:color w:val="auto"/>
                <w:sz w:val="20"/>
              </w:rPr>
              <w:t>Pentru a realiza acest obiectiv, statele membre pot, printre altele, să instituie scheme de returnare a garanției.</w:t>
            </w:r>
            <w:r>
              <w:rPr>
                <w:rFonts w:ascii="Georgia" w:hAnsi="Georgia"/>
                <w:color w:val="auto"/>
                <w:sz w:val="20"/>
              </w:rPr>
              <w:t xml:space="preserve"> </w:t>
            </w:r>
          </w:p>
        </w:tc>
      </w:tr>
      <w:tr w:rsidR="00752A7F" w:rsidRPr="001D67D9" w14:paraId="50752473" w14:textId="77777777" w:rsidTr="002D52F7">
        <w:trPr>
          <w:trHeight w:val="1610"/>
        </w:trPr>
        <w:tc>
          <w:tcPr>
            <w:tcW w:w="2106" w:type="dxa"/>
            <w:gridSpan w:val="2"/>
          </w:tcPr>
          <w:p w14:paraId="1BB1CB00" w14:textId="77777777" w:rsidR="00752A7F" w:rsidRPr="001D67D9" w:rsidRDefault="00752A7F" w:rsidP="00752A7F">
            <w:pPr>
              <w:rPr>
                <w:rFonts w:ascii="Georgia" w:hAnsi="Georgia"/>
                <w:color w:val="FF0000"/>
                <w:sz w:val="20"/>
              </w:rPr>
            </w:pPr>
          </w:p>
          <w:p w14:paraId="731CC28C" w14:textId="30468039" w:rsidR="00752A7F" w:rsidRPr="001D67D9" w:rsidRDefault="00752A7F" w:rsidP="00752A7F">
            <w:pPr>
              <w:rPr>
                <w:rFonts w:ascii="Georgia" w:hAnsi="Georgia"/>
                <w:color w:val="auto"/>
                <w:sz w:val="20"/>
              </w:rPr>
            </w:pPr>
            <w:r w:rsidRPr="001D67D9">
              <w:rPr>
                <w:rFonts w:ascii="Georgia" w:hAnsi="Georgia"/>
                <w:color w:val="000000" w:themeColor="text1"/>
                <w:sz w:val="20"/>
              </w:rPr>
              <w:t>2. Schimbări preconizate</w:t>
            </w:r>
          </w:p>
        </w:tc>
        <w:tc>
          <w:tcPr>
            <w:tcW w:w="7884" w:type="dxa"/>
            <w:gridSpan w:val="3"/>
          </w:tcPr>
          <w:p w14:paraId="7F008D32" w14:textId="56745AAB" w:rsidR="00752A7F" w:rsidRPr="001D67D9" w:rsidRDefault="00752A7F" w:rsidP="00752A7F">
            <w:pPr>
              <w:pStyle w:val="BodyText"/>
              <w:widowControl w:val="0"/>
              <w:spacing w:after="240" w:line="320" w:lineRule="exact"/>
              <w:jc w:val="both"/>
              <w:rPr>
                <w:rFonts w:ascii="Georgia" w:hAnsi="Georgia"/>
                <w:color w:val="000000" w:themeColor="text1"/>
                <w:sz w:val="20"/>
              </w:rPr>
            </w:pPr>
            <w:r w:rsidRPr="001D67D9">
              <w:rPr>
                <w:rFonts w:ascii="Georgia" w:hAnsi="Georgia"/>
                <w:color w:val="000000" w:themeColor="text1"/>
                <w:sz w:val="20"/>
              </w:rPr>
              <w:t xml:space="preserve">Articolul 35 din Constituția României intitulat „Dreptul la mediu sănătos”, prevede: (1) Statul recunoaște dreptul oricărei persoane la un mediu înconjurător sănătos şi echilibrat ecologic. (2) Statul asigură cadrul legislativ pentru exercitarea acestui drept. (3) Persoanele fizice şi juridice au îndatorirea de a proteja şi a ameliora mediul înconjurător. </w:t>
            </w:r>
          </w:p>
          <w:p w14:paraId="19A712EE" w14:textId="4D001699" w:rsidR="00752A7F" w:rsidRPr="001D67D9" w:rsidRDefault="00B77E08" w:rsidP="00752A7F">
            <w:pPr>
              <w:pStyle w:val="BodyText"/>
              <w:widowControl w:val="0"/>
              <w:spacing w:after="240" w:line="320" w:lineRule="exact"/>
              <w:jc w:val="both"/>
              <w:rPr>
                <w:rFonts w:ascii="Georgia" w:hAnsi="Georgia"/>
                <w:color w:val="000000" w:themeColor="text1"/>
                <w:sz w:val="20"/>
              </w:rPr>
            </w:pPr>
            <w:r>
              <w:rPr>
                <w:rFonts w:ascii="Georgia" w:hAnsi="Georgia"/>
                <w:color w:val="000000" w:themeColor="text1"/>
                <w:sz w:val="20"/>
              </w:rPr>
              <w:t xml:space="preserve">Prin urmare, chiar </w:t>
            </w:r>
            <w:r w:rsidR="00752A7F" w:rsidRPr="001D67D9">
              <w:rPr>
                <w:rFonts w:ascii="Georgia" w:hAnsi="Georgia"/>
                <w:color w:val="000000" w:themeColor="text1"/>
                <w:sz w:val="20"/>
              </w:rPr>
              <w:t xml:space="preserve">la nivel constituțional, se instituie obligația persoanelor fizice și juridice de a proteja și de a ameliora mediul înconjurător. În acest sens, întrucât ambalajul are o economică vitală, implementarea sistemului de garanție-returnare presupune nu numai implicarea tuturor operatorilor economici, dar și </w:t>
            </w:r>
            <w:r w:rsidR="003C058F">
              <w:rPr>
                <w:rFonts w:ascii="Georgia" w:hAnsi="Georgia"/>
                <w:color w:val="000000" w:themeColor="text1"/>
                <w:sz w:val="20"/>
              </w:rPr>
              <w:t xml:space="preserve">statului și </w:t>
            </w:r>
            <w:r w:rsidR="00752A7F" w:rsidRPr="001D67D9">
              <w:rPr>
                <w:rFonts w:ascii="Georgia" w:hAnsi="Georgia"/>
                <w:color w:val="000000" w:themeColor="text1"/>
                <w:sz w:val="20"/>
              </w:rPr>
              <w:t>a tuturor cetățenilor</w:t>
            </w:r>
            <w:r w:rsidR="00752A7F">
              <w:rPr>
                <w:rFonts w:ascii="Georgia" w:hAnsi="Georgia"/>
                <w:color w:val="000000" w:themeColor="text1"/>
                <w:sz w:val="20"/>
              </w:rPr>
              <w:t>. P</w:t>
            </w:r>
            <w:r w:rsidR="00752A7F" w:rsidRPr="001D67D9">
              <w:rPr>
                <w:rFonts w:ascii="Georgia" w:hAnsi="Georgia"/>
                <w:color w:val="000000" w:themeColor="text1"/>
                <w:sz w:val="20"/>
              </w:rPr>
              <w:t>asivitatea sau implicarea necorespunzătoare ar conduce la blocaje constante ale sistemului, care nu va putea funcționa altfel decât prin strânsa cooperare a tuturor partenerilor, într-un spirit de responsabilitate comună.</w:t>
            </w:r>
          </w:p>
          <w:p w14:paraId="4ECEE0EE" w14:textId="571F5AD4" w:rsidR="00752A7F" w:rsidRDefault="00752A7F" w:rsidP="00752A7F">
            <w:pPr>
              <w:pStyle w:val="BodyText"/>
              <w:widowControl w:val="0"/>
              <w:spacing w:after="240" w:line="320" w:lineRule="exact"/>
              <w:jc w:val="both"/>
              <w:rPr>
                <w:rFonts w:ascii="Georgia" w:hAnsi="Georgia"/>
                <w:color w:val="000000" w:themeColor="text1"/>
                <w:sz w:val="20"/>
              </w:rPr>
            </w:pPr>
            <w:r>
              <w:rPr>
                <w:rFonts w:ascii="Georgia" w:hAnsi="Georgia"/>
                <w:color w:val="000000" w:themeColor="text1"/>
                <w:sz w:val="20"/>
              </w:rPr>
              <w:t xml:space="preserve">Astfel, se instituie obligații exprese și bine delimitate între toți operatorii economici implicați în implementarea și în buna funcționare a sistemului de garanție-returnare. În acest sens, sunt delimitate inclusiv obligațiile comercianților HoReCa, a </w:t>
            </w:r>
            <w:r w:rsidRPr="005A32E5">
              <w:rPr>
                <w:rFonts w:ascii="Georgia" w:hAnsi="Georgia"/>
                <w:color w:val="000000" w:themeColor="text1"/>
                <w:sz w:val="20"/>
              </w:rPr>
              <w:t>operator</w:t>
            </w:r>
            <w:r>
              <w:rPr>
                <w:rFonts w:ascii="Georgia" w:hAnsi="Georgia"/>
                <w:color w:val="000000" w:themeColor="text1"/>
                <w:sz w:val="20"/>
              </w:rPr>
              <w:t>ilor</w:t>
            </w:r>
            <w:r w:rsidRPr="005A32E5">
              <w:rPr>
                <w:rFonts w:ascii="Georgia" w:hAnsi="Georgia"/>
                <w:color w:val="000000" w:themeColor="text1"/>
                <w:sz w:val="20"/>
              </w:rPr>
              <w:t xml:space="preserve"> de platform</w:t>
            </w:r>
            <w:r>
              <w:rPr>
                <w:rFonts w:ascii="Georgia" w:hAnsi="Georgia"/>
                <w:color w:val="000000" w:themeColor="text1"/>
                <w:sz w:val="20"/>
              </w:rPr>
              <w:t>e</w:t>
            </w:r>
            <w:r w:rsidRPr="005A32E5">
              <w:rPr>
                <w:rFonts w:ascii="Georgia" w:hAnsi="Georgia"/>
                <w:color w:val="000000" w:themeColor="text1"/>
                <w:sz w:val="20"/>
              </w:rPr>
              <w:t xml:space="preserve"> on-line</w:t>
            </w:r>
            <w:r>
              <w:rPr>
                <w:rFonts w:ascii="Georgia" w:hAnsi="Georgia"/>
                <w:color w:val="000000" w:themeColor="text1"/>
                <w:sz w:val="20"/>
              </w:rPr>
              <w:t xml:space="preserve"> și inclusiv a c</w:t>
            </w:r>
            <w:r w:rsidRPr="00216160">
              <w:rPr>
                <w:rFonts w:ascii="Georgia" w:hAnsi="Georgia"/>
                <w:color w:val="000000" w:themeColor="text1"/>
                <w:sz w:val="20"/>
              </w:rPr>
              <w:t>omercianți</w:t>
            </w:r>
            <w:r>
              <w:rPr>
                <w:rFonts w:ascii="Georgia" w:hAnsi="Georgia"/>
                <w:color w:val="000000" w:themeColor="text1"/>
                <w:sz w:val="20"/>
              </w:rPr>
              <w:t>lor</w:t>
            </w:r>
            <w:r w:rsidRPr="00216160">
              <w:rPr>
                <w:rFonts w:ascii="Georgia" w:hAnsi="Georgia"/>
                <w:color w:val="000000" w:themeColor="text1"/>
                <w:sz w:val="20"/>
              </w:rPr>
              <w:t xml:space="preserve"> având structuri de vânzare cu o suprafață mai mică de 50 m</w:t>
            </w:r>
            <w:r w:rsidRPr="00216160">
              <w:rPr>
                <w:rFonts w:ascii="Georgia" w:hAnsi="Georgia"/>
                <w:color w:val="000000" w:themeColor="text1"/>
                <w:sz w:val="20"/>
                <w:vertAlign w:val="superscript"/>
              </w:rPr>
              <w:t>2</w:t>
            </w:r>
            <w:r>
              <w:rPr>
                <w:rFonts w:ascii="Georgia" w:hAnsi="Georgia"/>
                <w:color w:val="000000" w:themeColor="text1"/>
                <w:sz w:val="20"/>
              </w:rPr>
              <w:t xml:space="preserve">. </w:t>
            </w:r>
          </w:p>
          <w:p w14:paraId="6DC4AF9D" w14:textId="61EC2BBD" w:rsidR="00752A7F" w:rsidRPr="001D67D9" w:rsidRDefault="00752A7F" w:rsidP="00752A7F">
            <w:pPr>
              <w:pStyle w:val="BodyText"/>
              <w:widowControl w:val="0"/>
              <w:spacing w:after="240" w:line="320" w:lineRule="exact"/>
              <w:jc w:val="both"/>
              <w:rPr>
                <w:rFonts w:ascii="Georgia" w:hAnsi="Georgia"/>
                <w:color w:val="000000" w:themeColor="text1"/>
                <w:sz w:val="20"/>
              </w:rPr>
            </w:pPr>
            <w:r>
              <w:rPr>
                <w:rFonts w:ascii="Georgia" w:hAnsi="Georgia"/>
                <w:color w:val="000000" w:themeColor="text1"/>
                <w:sz w:val="20"/>
              </w:rPr>
              <w:t xml:space="preserve">Pentru activitatea Administratorului și pentru o mai bună gestionare a sistemului de garanție-returnare, vor fi înființate </w:t>
            </w:r>
            <w:r w:rsidR="00A05512">
              <w:rPr>
                <w:rFonts w:ascii="Georgia" w:hAnsi="Georgia"/>
                <w:color w:val="000000" w:themeColor="text1"/>
                <w:sz w:val="20"/>
              </w:rPr>
              <w:t xml:space="preserve">puncte de returnare și </w:t>
            </w:r>
            <w:r>
              <w:rPr>
                <w:rFonts w:ascii="Georgia" w:hAnsi="Georgia"/>
                <w:color w:val="000000" w:themeColor="text1"/>
                <w:sz w:val="20"/>
              </w:rPr>
              <w:t>centre de numărare, care vor fi obligate să țină o evidență informatică a tuturor ambalajelor returnate și care fac parte din sistemul de garanție-returnare.</w:t>
            </w:r>
          </w:p>
          <w:p w14:paraId="58F067D6" w14:textId="3C56D3BE" w:rsidR="00752A7F" w:rsidRPr="001D67D9"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color w:val="000000" w:themeColor="text1"/>
                <w:sz w:val="20"/>
              </w:rPr>
              <w:t>Pentru claritate, se introduc o serie de definiții, astfel încât acestea să poată fi uzitate și interpretate în contextul implementării sistemului de garanție-returnare</w:t>
            </w:r>
            <w:r>
              <w:rPr>
                <w:rFonts w:ascii="Georgia" w:hAnsi="Georgia"/>
                <w:color w:val="000000" w:themeColor="text1"/>
                <w:sz w:val="20"/>
              </w:rPr>
              <w:t xml:space="preserve"> și</w:t>
            </w:r>
            <w:r w:rsidRPr="001D67D9">
              <w:rPr>
                <w:rFonts w:ascii="Georgia" w:hAnsi="Georgia"/>
                <w:color w:val="000000" w:themeColor="text1"/>
                <w:sz w:val="20"/>
              </w:rPr>
              <w:t xml:space="preserve"> pentru o mai bună înțelegere a modului </w:t>
            </w:r>
            <w:r w:rsidR="003C058F">
              <w:rPr>
                <w:rFonts w:ascii="Georgia" w:hAnsi="Georgia"/>
                <w:color w:val="000000" w:themeColor="text1"/>
                <w:sz w:val="20"/>
              </w:rPr>
              <w:t xml:space="preserve">său </w:t>
            </w:r>
            <w:r w:rsidRPr="001D67D9">
              <w:rPr>
                <w:rFonts w:ascii="Georgia" w:hAnsi="Georgia"/>
                <w:color w:val="000000" w:themeColor="text1"/>
                <w:sz w:val="20"/>
              </w:rPr>
              <w:t xml:space="preserve">de funcționare, </w:t>
            </w:r>
            <w:r>
              <w:rPr>
                <w:rFonts w:ascii="Georgia" w:hAnsi="Georgia"/>
                <w:color w:val="000000" w:themeColor="text1"/>
                <w:sz w:val="20"/>
              </w:rPr>
              <w:t>printre care</w:t>
            </w:r>
            <w:r w:rsidRPr="001D67D9">
              <w:rPr>
                <w:rFonts w:ascii="Georgia" w:hAnsi="Georgia"/>
                <w:color w:val="000000" w:themeColor="text1"/>
                <w:sz w:val="20"/>
              </w:rPr>
              <w:t>: „</w:t>
            </w:r>
            <w:r w:rsidRPr="001D67D9">
              <w:rPr>
                <w:rFonts w:ascii="Georgia" w:hAnsi="Georgia"/>
                <w:bCs/>
                <w:color w:val="auto"/>
                <w:sz w:val="20"/>
                <w:lang w:bidi="ar-SA"/>
              </w:rPr>
              <w:t xml:space="preserve">administrator al sistemului de garanție-returnare”, „ambalaj supus sistemului de garanție-returnare”, „consumator final” sau „garanție de returnare”. </w:t>
            </w:r>
          </w:p>
          <w:p w14:paraId="34BB1AAD" w14:textId="532B367C" w:rsidR="00752A7F"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Valoarea garanției stabilită prin prezentul proiect de act normativ este în cuantum de 0,50 lei pentru fiecare ambalaj, având scopul de a încuraja consumatorii finali să returneze ambalajele </w:t>
            </w:r>
            <w:r w:rsidR="00A05512">
              <w:rPr>
                <w:rFonts w:ascii="Georgia" w:hAnsi="Georgia"/>
                <w:bCs/>
                <w:color w:val="auto"/>
                <w:sz w:val="20"/>
                <w:lang w:bidi="ar-SA"/>
              </w:rPr>
              <w:t xml:space="preserve">incluse în </w:t>
            </w:r>
            <w:r w:rsidR="00A05512" w:rsidRPr="001D67D9">
              <w:rPr>
                <w:rFonts w:ascii="Georgia" w:hAnsi="Georgia"/>
                <w:color w:val="000000" w:themeColor="text1"/>
                <w:sz w:val="20"/>
              </w:rPr>
              <w:t>sistemul de garanție-returnare</w:t>
            </w:r>
            <w:r w:rsidRPr="001D67D9">
              <w:rPr>
                <w:rFonts w:ascii="Georgia" w:hAnsi="Georgia"/>
                <w:bCs/>
                <w:color w:val="auto"/>
                <w:sz w:val="20"/>
                <w:lang w:bidi="ar-SA"/>
              </w:rPr>
              <w:t xml:space="preserve">. La momentul returnării ambalajelor, </w:t>
            </w:r>
            <w:r w:rsidR="003C058F">
              <w:rPr>
                <w:rFonts w:ascii="Georgia" w:hAnsi="Georgia"/>
                <w:bCs/>
                <w:color w:val="auto"/>
                <w:sz w:val="20"/>
                <w:lang w:bidi="ar-SA"/>
              </w:rPr>
              <w:t>în cazul în care</w:t>
            </w:r>
            <w:r w:rsidRPr="001D67D9">
              <w:rPr>
                <w:rFonts w:ascii="Georgia" w:hAnsi="Georgia"/>
                <w:bCs/>
                <w:color w:val="auto"/>
                <w:sz w:val="20"/>
                <w:lang w:bidi="ar-SA"/>
              </w:rPr>
              <w:t xml:space="preserve"> consumatorul final solicită restituirea garanției în numerar, </w:t>
            </w:r>
            <w:r w:rsidRPr="001D67D9">
              <w:rPr>
                <w:rFonts w:ascii="Georgia" w:hAnsi="Georgia"/>
                <w:bCs/>
                <w:color w:val="auto"/>
                <w:sz w:val="20"/>
                <w:lang w:bidi="ar-SA"/>
              </w:rPr>
              <w:lastRenderedPageBreak/>
              <w:t xml:space="preserve">comerciantul </w:t>
            </w:r>
            <w:r w:rsidR="003C058F">
              <w:rPr>
                <w:rFonts w:ascii="Georgia" w:hAnsi="Georgia"/>
                <w:bCs/>
                <w:color w:val="auto"/>
                <w:sz w:val="20"/>
                <w:lang w:bidi="ar-SA"/>
              </w:rPr>
              <w:t>are obligația restituirii integrale a acesteia</w:t>
            </w:r>
            <w:r w:rsidRPr="001D67D9">
              <w:rPr>
                <w:rFonts w:ascii="Georgia" w:hAnsi="Georgia"/>
                <w:bCs/>
                <w:color w:val="auto"/>
                <w:sz w:val="20"/>
                <w:lang w:bidi="ar-SA"/>
              </w:rPr>
              <w:t>.</w:t>
            </w:r>
          </w:p>
          <w:p w14:paraId="50D945C1" w14:textId="6DDE8974" w:rsidR="00752A7F" w:rsidRDefault="00752A7F" w:rsidP="00752A7F">
            <w:pPr>
              <w:pStyle w:val="BodyText"/>
              <w:widowControl w:val="0"/>
              <w:spacing w:after="240" w:line="320" w:lineRule="exact"/>
              <w:jc w:val="both"/>
              <w:rPr>
                <w:rFonts w:ascii="Georgia" w:hAnsi="Georgia"/>
                <w:bCs/>
                <w:color w:val="auto"/>
                <w:sz w:val="20"/>
                <w:lang w:bidi="ar-SA"/>
              </w:rPr>
            </w:pPr>
            <w:r>
              <w:rPr>
                <w:rFonts w:ascii="Georgia" w:hAnsi="Georgia"/>
                <w:bCs/>
                <w:color w:val="auto"/>
                <w:sz w:val="20"/>
                <w:lang w:bidi="ar-SA"/>
              </w:rPr>
              <w:t xml:space="preserve">În urma evaluării impactului economic și social, se consideră că suma percepută cu titlul de garanție este în măsură să mențină stabilitatea operatorilor economici și în același timp să fie un impuls în vederea creșterii gradului de colectare. În ceea ce privește consumatorul final, valoarea acesteia este stabilită astfel încât să nu provoace o scădere a cererii </w:t>
            </w:r>
            <w:r w:rsidR="00437497">
              <w:rPr>
                <w:rFonts w:ascii="Georgia" w:hAnsi="Georgia"/>
                <w:bCs/>
                <w:color w:val="auto"/>
                <w:sz w:val="20"/>
                <w:lang w:bidi="ar-SA"/>
              </w:rPr>
              <w:t>și în</w:t>
            </w:r>
            <w:r>
              <w:rPr>
                <w:rFonts w:ascii="Georgia" w:hAnsi="Georgia"/>
                <w:bCs/>
                <w:color w:val="auto"/>
                <w:sz w:val="20"/>
                <w:lang w:bidi="ar-SA"/>
              </w:rPr>
              <w:t xml:space="preserve"> același timp să stimuleze returnarea ambalajului în vederea redobândirii cuantumului acesteia. </w:t>
            </w:r>
          </w:p>
          <w:p w14:paraId="0F21EA87" w14:textId="3BF14DA1" w:rsidR="00752A7F" w:rsidRDefault="00752A7F" w:rsidP="00752A7F">
            <w:pPr>
              <w:pStyle w:val="BodyText"/>
              <w:widowControl w:val="0"/>
              <w:spacing w:after="240" w:line="320" w:lineRule="exact"/>
              <w:jc w:val="both"/>
              <w:rPr>
                <w:rFonts w:ascii="Georgia" w:hAnsi="Georgia"/>
                <w:bCs/>
                <w:color w:val="auto"/>
                <w:sz w:val="20"/>
                <w:lang w:bidi="ar-SA"/>
              </w:rPr>
            </w:pPr>
            <w:r>
              <w:rPr>
                <w:rFonts w:ascii="Georgia" w:hAnsi="Georgia"/>
                <w:bCs/>
                <w:color w:val="auto"/>
                <w:sz w:val="20"/>
                <w:lang w:bidi="ar-SA"/>
              </w:rPr>
              <w:t xml:space="preserve">În ceea ce privește schema de rambursare a garanției, aceasta are în vedere </w:t>
            </w:r>
            <w:r w:rsidRPr="001B53F8">
              <w:rPr>
                <w:rFonts w:ascii="Georgia" w:hAnsi="Georgia"/>
                <w:bCs/>
                <w:color w:val="auto"/>
                <w:sz w:val="20"/>
                <w:lang w:bidi="ar-SA"/>
              </w:rPr>
              <w:t>ansamblul măsuri</w:t>
            </w:r>
            <w:r>
              <w:rPr>
                <w:rFonts w:ascii="Georgia" w:hAnsi="Georgia"/>
                <w:bCs/>
                <w:color w:val="auto"/>
                <w:sz w:val="20"/>
                <w:lang w:bidi="ar-SA"/>
              </w:rPr>
              <w:t>lor</w:t>
            </w:r>
            <w:r w:rsidRPr="001B53F8">
              <w:rPr>
                <w:rFonts w:ascii="Georgia" w:hAnsi="Georgia"/>
                <w:bCs/>
                <w:color w:val="auto"/>
                <w:sz w:val="20"/>
                <w:lang w:bidi="ar-SA"/>
              </w:rPr>
              <w:t xml:space="preserve"> organizaționale, administrative</w:t>
            </w:r>
            <w:r>
              <w:rPr>
                <w:rFonts w:ascii="Georgia" w:hAnsi="Georgia"/>
                <w:bCs/>
                <w:color w:val="auto"/>
                <w:sz w:val="20"/>
                <w:lang w:bidi="ar-SA"/>
              </w:rPr>
              <w:t xml:space="preserve"> și</w:t>
            </w:r>
            <w:r w:rsidRPr="001B53F8">
              <w:rPr>
                <w:rFonts w:ascii="Georgia" w:hAnsi="Georgia"/>
                <w:bCs/>
                <w:color w:val="auto"/>
                <w:sz w:val="20"/>
                <w:lang w:bidi="ar-SA"/>
              </w:rPr>
              <w:t xml:space="preserve"> financiare implementate de administrator cu scopul de a rambursa garanțiile pe care consumatorii finali le plătesc atunci când achiziționează produse în ambalaje SGR</w:t>
            </w:r>
            <w:r>
              <w:rPr>
                <w:rFonts w:ascii="Georgia" w:hAnsi="Georgia"/>
                <w:bCs/>
                <w:color w:val="auto"/>
                <w:sz w:val="20"/>
                <w:lang w:bidi="ar-SA"/>
              </w:rPr>
              <w:t xml:space="preserve">. </w:t>
            </w:r>
          </w:p>
          <w:p w14:paraId="333BF01B" w14:textId="0D4C1A16" w:rsidR="00752A7F" w:rsidRPr="001D67D9" w:rsidRDefault="00B77E08" w:rsidP="00752A7F">
            <w:pPr>
              <w:pStyle w:val="BodyText"/>
              <w:widowControl w:val="0"/>
              <w:spacing w:after="240" w:line="320" w:lineRule="exact"/>
              <w:jc w:val="both"/>
              <w:rPr>
                <w:rFonts w:ascii="Georgia" w:hAnsi="Georgia"/>
                <w:bCs/>
                <w:color w:val="auto"/>
                <w:sz w:val="20"/>
                <w:lang w:bidi="ar-SA"/>
              </w:rPr>
            </w:pPr>
            <w:r>
              <w:rPr>
                <w:rFonts w:ascii="Georgia" w:hAnsi="Georgia"/>
                <w:bCs/>
                <w:color w:val="auto"/>
                <w:sz w:val="20"/>
                <w:lang w:bidi="ar-SA"/>
              </w:rPr>
              <w:t>C</w:t>
            </w:r>
            <w:r w:rsidR="00752A7F" w:rsidRPr="001B53F8">
              <w:rPr>
                <w:rFonts w:ascii="Georgia" w:hAnsi="Georgia"/>
                <w:bCs/>
                <w:color w:val="auto"/>
                <w:sz w:val="20"/>
                <w:lang w:bidi="ar-SA"/>
              </w:rPr>
              <w:t>onsumatorul final poate restitui ambalajul SGR în cadrul oricărui punct de returnare organizat pe teritoriul României, indiferent de locul din care a fost achiziționat produsul și fără a fi condiționat de prezentarea bonului fiscal în vederea recuperării garanției</w:t>
            </w:r>
            <w:r w:rsidR="00752A7F">
              <w:rPr>
                <w:rFonts w:ascii="Georgia" w:hAnsi="Georgia"/>
                <w:bCs/>
                <w:color w:val="auto"/>
                <w:sz w:val="20"/>
                <w:lang w:bidi="ar-SA"/>
              </w:rPr>
              <w:t xml:space="preserve">. </w:t>
            </w:r>
          </w:p>
          <w:p w14:paraId="257ADC60" w14:textId="214C243B" w:rsidR="00752A7F" w:rsidRPr="001D67D9"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Operatorilor economici care comercializează către consumatorii finali le este interzis să refuze nejustificat sau să condiționeze preluarea de ambalaje nereutilizabile returnate, excepțiile fiind strict și limitativ prevăzute de proiectul de act normativ. </w:t>
            </w:r>
          </w:p>
          <w:p w14:paraId="07A1EDD7" w14:textId="67B88DA2" w:rsidR="00752A7F" w:rsidRPr="001D67D9"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bCs/>
                <w:color w:val="auto"/>
                <w:sz w:val="20"/>
                <w:lang w:bidi="ar-SA"/>
              </w:rPr>
              <w:t>Pentru primul an de funcționare, obiectivele sistemului de garanție-returnare pentru ambalajele nereutilizabile se raport</w:t>
            </w:r>
            <w:r>
              <w:rPr>
                <w:rFonts w:ascii="Georgia" w:hAnsi="Georgia"/>
                <w:bCs/>
                <w:color w:val="auto"/>
                <w:sz w:val="20"/>
                <w:lang w:bidi="ar-SA"/>
              </w:rPr>
              <w:t>ează</w:t>
            </w:r>
            <w:r w:rsidRPr="001D67D9">
              <w:rPr>
                <w:rFonts w:ascii="Georgia" w:hAnsi="Georgia"/>
                <w:bCs/>
                <w:color w:val="auto"/>
                <w:sz w:val="20"/>
                <w:lang w:bidi="ar-SA"/>
              </w:rPr>
              <w:t xml:space="preserve"> la stadiul actual al programelor de gestionare a deșeurilor şi </w:t>
            </w:r>
            <w:r w:rsidR="00437497">
              <w:rPr>
                <w:rFonts w:ascii="Georgia" w:hAnsi="Georgia"/>
                <w:bCs/>
                <w:color w:val="auto"/>
                <w:sz w:val="20"/>
                <w:lang w:bidi="ar-SA"/>
              </w:rPr>
              <w:t xml:space="preserve">la </w:t>
            </w:r>
            <w:r w:rsidRPr="001D67D9">
              <w:rPr>
                <w:rFonts w:ascii="Georgia" w:hAnsi="Georgia"/>
                <w:bCs/>
                <w:color w:val="auto"/>
                <w:sz w:val="20"/>
                <w:lang w:bidi="ar-SA"/>
              </w:rPr>
              <w:t>deschiderea populației cu privire la acest aspect.</w:t>
            </w:r>
          </w:p>
          <w:p w14:paraId="38035B16" w14:textId="4F06EC03" w:rsidR="00752A7F" w:rsidRPr="001D67D9"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Având în vedere instrumentul economic „plătește pentru cât arunci” și aplicarea </w:t>
            </w:r>
            <w:r w:rsidR="00437497">
              <w:rPr>
                <w:rFonts w:ascii="Georgia" w:hAnsi="Georgia"/>
                <w:bCs/>
                <w:color w:val="auto"/>
                <w:sz w:val="20"/>
                <w:lang w:bidi="ar-SA"/>
              </w:rPr>
              <w:t>principiului „</w:t>
            </w:r>
            <w:r w:rsidRPr="001D67D9">
              <w:rPr>
                <w:rFonts w:ascii="Georgia" w:hAnsi="Georgia"/>
                <w:bCs/>
                <w:color w:val="auto"/>
                <w:sz w:val="20"/>
                <w:lang w:bidi="ar-SA"/>
              </w:rPr>
              <w:t>răspunderii extinse a producătorului” proiectul de act normativ prevede o serie de obligații pentru:</w:t>
            </w:r>
          </w:p>
          <w:p w14:paraId="73CA3C8C" w14:textId="087094E6" w:rsidR="00752A7F" w:rsidRPr="001D67D9" w:rsidRDefault="00752A7F" w:rsidP="00752A7F">
            <w:pPr>
              <w:pStyle w:val="BodyText"/>
              <w:widowControl w:val="0"/>
              <w:numPr>
                <w:ilvl w:val="0"/>
                <w:numId w:val="19"/>
              </w:numPr>
              <w:spacing w:after="240" w:line="320" w:lineRule="exact"/>
              <w:jc w:val="both"/>
              <w:rPr>
                <w:rFonts w:ascii="Georgia" w:hAnsi="Georgia"/>
                <w:bCs/>
                <w:color w:val="auto"/>
                <w:sz w:val="20"/>
                <w:lang w:bidi="ar-SA"/>
              </w:rPr>
            </w:pPr>
            <w:r w:rsidRPr="001D67D9">
              <w:rPr>
                <w:rFonts w:ascii="Georgia" w:hAnsi="Georgia"/>
                <w:bCs/>
                <w:color w:val="auto"/>
                <w:sz w:val="20"/>
                <w:lang w:bidi="ar-SA"/>
              </w:rPr>
              <w:t>Administratorul sistemului de garanție-returnare, printre care:</w:t>
            </w:r>
          </w:p>
          <w:p w14:paraId="0E7AF31C" w14:textId="32D438F5" w:rsidR="00752A7F" w:rsidRPr="001D67D9" w:rsidRDefault="00752A7F" w:rsidP="00752A7F">
            <w:pPr>
              <w:pStyle w:val="ListParagraph"/>
              <w:numPr>
                <w:ilvl w:val="0"/>
                <w:numId w:val="17"/>
              </w:numPr>
              <w:jc w:val="both"/>
              <w:rPr>
                <w:rFonts w:ascii="Georgia" w:eastAsia="Calibri" w:hAnsi="Georgia"/>
                <w:bCs/>
                <w:sz w:val="20"/>
                <w:szCs w:val="20"/>
                <w:lang w:eastAsia="en-US"/>
              </w:rPr>
            </w:pPr>
            <w:r w:rsidRPr="001D67D9">
              <w:rPr>
                <w:rFonts w:ascii="Georgia" w:eastAsia="Calibri" w:hAnsi="Georgia"/>
                <w:bCs/>
                <w:sz w:val="20"/>
                <w:szCs w:val="20"/>
                <w:lang w:eastAsia="en-US"/>
              </w:rPr>
              <w:t xml:space="preserve">să îşi desfășoare activitatea în mod nediscriminatoriu în relațiile cu operatorii economici; </w:t>
            </w:r>
          </w:p>
          <w:p w14:paraId="29563065" w14:textId="11F566F1" w:rsidR="00752A7F" w:rsidRPr="001D67D9" w:rsidRDefault="00752A7F" w:rsidP="00752A7F">
            <w:pPr>
              <w:pStyle w:val="ListParagraph"/>
              <w:numPr>
                <w:ilvl w:val="0"/>
                <w:numId w:val="17"/>
              </w:numPr>
              <w:jc w:val="both"/>
              <w:rPr>
                <w:rFonts w:ascii="Georgia" w:eastAsia="Calibri" w:hAnsi="Georgia"/>
                <w:bCs/>
                <w:sz w:val="20"/>
                <w:szCs w:val="20"/>
                <w:lang w:eastAsia="en-US"/>
              </w:rPr>
            </w:pPr>
            <w:r w:rsidRPr="001D67D9">
              <w:rPr>
                <w:rFonts w:ascii="Georgia" w:eastAsia="Calibri" w:hAnsi="Georgia"/>
                <w:bCs/>
                <w:sz w:val="20"/>
                <w:szCs w:val="20"/>
                <w:lang w:eastAsia="en-US"/>
              </w:rPr>
              <w:t>să asigure colectarea deșeurilor de ambalaje de la punctele de returnare cu o frecvență și într-o manieră care să nu perturbe buna funcționare a comercianților;</w:t>
            </w:r>
          </w:p>
          <w:p w14:paraId="16CE8FEA" w14:textId="654A0728" w:rsidR="00752A7F" w:rsidRPr="001D67D9" w:rsidRDefault="00752A7F" w:rsidP="00752A7F">
            <w:pPr>
              <w:pStyle w:val="ListParagraph"/>
              <w:numPr>
                <w:ilvl w:val="0"/>
                <w:numId w:val="17"/>
              </w:numPr>
              <w:jc w:val="both"/>
              <w:rPr>
                <w:rFonts w:ascii="Georgia" w:eastAsia="Calibri" w:hAnsi="Georgia"/>
                <w:bCs/>
                <w:sz w:val="20"/>
                <w:szCs w:val="20"/>
                <w:lang w:eastAsia="en-US"/>
              </w:rPr>
            </w:pPr>
            <w:r w:rsidRPr="001D67D9">
              <w:rPr>
                <w:rFonts w:ascii="Georgia" w:eastAsia="Calibri" w:hAnsi="Georgia"/>
                <w:bCs/>
                <w:sz w:val="20"/>
                <w:szCs w:val="20"/>
                <w:lang w:eastAsia="en-US"/>
              </w:rPr>
              <w:t>să gestioneze şi să finanțeze transportul deșeurilor de ambalaje returnate de către consumatorii finali, de la punctele de preluare către centrul de numărare, respectiv centrul logistic, şi ulterior către reciclator;</w:t>
            </w:r>
          </w:p>
          <w:p w14:paraId="42CE3B34" w14:textId="77777777" w:rsidR="00752A7F" w:rsidRPr="001D67D9" w:rsidRDefault="00752A7F" w:rsidP="00752A7F">
            <w:pPr>
              <w:pStyle w:val="ListParagraph"/>
              <w:numPr>
                <w:ilvl w:val="0"/>
                <w:numId w:val="17"/>
              </w:numPr>
              <w:jc w:val="both"/>
              <w:rPr>
                <w:rFonts w:ascii="Georgia" w:eastAsia="Calibri" w:hAnsi="Georgia"/>
                <w:bCs/>
                <w:sz w:val="20"/>
                <w:szCs w:val="20"/>
                <w:lang w:eastAsia="en-US"/>
              </w:rPr>
            </w:pPr>
            <w:r w:rsidRPr="001D67D9">
              <w:rPr>
                <w:rFonts w:ascii="Georgia" w:eastAsia="Calibri" w:hAnsi="Georgia"/>
                <w:bCs/>
                <w:sz w:val="20"/>
                <w:szCs w:val="20"/>
                <w:lang w:eastAsia="en-US"/>
              </w:rPr>
              <w:t>să se asigure că sunt îndeplinite obiectivele de colectare prevăzute de prezenta reglementare;</w:t>
            </w:r>
          </w:p>
          <w:p w14:paraId="6B424678" w14:textId="19975971" w:rsidR="00752A7F" w:rsidRPr="001D67D9" w:rsidRDefault="00752A7F" w:rsidP="00752A7F">
            <w:pPr>
              <w:pStyle w:val="ListParagraph"/>
              <w:numPr>
                <w:ilvl w:val="0"/>
                <w:numId w:val="17"/>
              </w:numPr>
              <w:jc w:val="both"/>
              <w:rPr>
                <w:rFonts w:ascii="Georgia" w:eastAsia="Calibri" w:hAnsi="Georgia"/>
                <w:bCs/>
                <w:sz w:val="20"/>
                <w:szCs w:val="20"/>
                <w:lang w:eastAsia="en-US"/>
              </w:rPr>
            </w:pPr>
            <w:r w:rsidRPr="001D67D9">
              <w:rPr>
                <w:rFonts w:ascii="Georgia" w:eastAsia="Calibri" w:hAnsi="Georgia"/>
                <w:bCs/>
                <w:sz w:val="20"/>
                <w:szCs w:val="20"/>
                <w:lang w:eastAsia="en-US"/>
              </w:rPr>
              <w:t>să desfășoare campanii educaționale și publicitare de informare și conștientizare a populație cu privire la funcționarea sistemului de garanție-returnare;</w:t>
            </w:r>
          </w:p>
          <w:p w14:paraId="3081B3BB" w14:textId="3E134BC3" w:rsidR="00752A7F" w:rsidRPr="001D67D9" w:rsidRDefault="00752A7F" w:rsidP="00752A7F">
            <w:pPr>
              <w:pStyle w:val="BodyText"/>
              <w:widowControl w:val="0"/>
              <w:numPr>
                <w:ilvl w:val="0"/>
                <w:numId w:val="19"/>
              </w:numPr>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Producătorii de ambalaje care introduc sau fac disponibile pe piața națională ambalaje nereutilizabile supuse plății unei garanții, printre </w:t>
            </w:r>
            <w:r w:rsidRPr="001D67D9">
              <w:rPr>
                <w:rFonts w:ascii="Georgia" w:hAnsi="Georgia"/>
                <w:bCs/>
                <w:color w:val="auto"/>
                <w:sz w:val="20"/>
                <w:lang w:bidi="ar-SA"/>
              </w:rPr>
              <w:lastRenderedPageBreak/>
              <w:t>care:</w:t>
            </w:r>
          </w:p>
          <w:p w14:paraId="741DCB74" w14:textId="5B08B578" w:rsidR="00752A7F" w:rsidRPr="001D67D9" w:rsidRDefault="00752A7F" w:rsidP="00752A7F">
            <w:pPr>
              <w:pStyle w:val="ListParagraph"/>
              <w:numPr>
                <w:ilvl w:val="0"/>
                <w:numId w:val="20"/>
              </w:numPr>
              <w:jc w:val="both"/>
              <w:rPr>
                <w:rFonts w:ascii="Georgia" w:eastAsia="Calibri" w:hAnsi="Georgia"/>
                <w:bCs/>
                <w:sz w:val="20"/>
                <w:szCs w:val="20"/>
                <w:lang w:eastAsia="en-US"/>
              </w:rPr>
            </w:pPr>
            <w:r w:rsidRPr="001D67D9">
              <w:rPr>
                <w:rFonts w:ascii="Georgia" w:eastAsia="Calibri" w:hAnsi="Georgia"/>
                <w:bCs/>
                <w:sz w:val="20"/>
                <w:szCs w:val="20"/>
                <w:lang w:eastAsia="en-US"/>
              </w:rPr>
              <w:t xml:space="preserve">să țină evidența numărului total al produselor în ambalaje SGR introduse pe piața națională, precum și evidența numărului total al produselor în ambalaje SGR care au fost returnate producătorului de către distribuitori sau comercianți, pe tip de material şi volum; </w:t>
            </w:r>
          </w:p>
          <w:p w14:paraId="1B54329A" w14:textId="0CA8763C" w:rsidR="00752A7F" w:rsidRPr="001D67D9" w:rsidRDefault="00752A7F" w:rsidP="00752A7F">
            <w:pPr>
              <w:pStyle w:val="ListParagraph"/>
              <w:numPr>
                <w:ilvl w:val="0"/>
                <w:numId w:val="20"/>
              </w:numPr>
              <w:spacing w:line="320" w:lineRule="exact"/>
              <w:jc w:val="both"/>
              <w:rPr>
                <w:rFonts w:ascii="Georgia" w:hAnsi="Georgia"/>
                <w:sz w:val="20"/>
                <w:szCs w:val="20"/>
              </w:rPr>
            </w:pPr>
            <w:r w:rsidRPr="001D67D9">
              <w:rPr>
                <w:rFonts w:ascii="Georgia" w:hAnsi="Georgia"/>
                <w:sz w:val="20"/>
                <w:szCs w:val="20"/>
              </w:rPr>
              <w:t xml:space="preserve">să plătească administratorului valoarea garanției aferente produselor în ambalaje SGR introduse pe piața națională; </w:t>
            </w:r>
          </w:p>
          <w:p w14:paraId="18041133" w14:textId="77777777" w:rsidR="00752A7F" w:rsidRPr="001D67D9" w:rsidRDefault="00752A7F" w:rsidP="00752A7F">
            <w:pPr>
              <w:pStyle w:val="ListParagraph"/>
              <w:numPr>
                <w:ilvl w:val="0"/>
                <w:numId w:val="20"/>
              </w:numPr>
              <w:jc w:val="both"/>
              <w:rPr>
                <w:rFonts w:ascii="Georgia" w:eastAsia="Calibri" w:hAnsi="Georgia"/>
                <w:bCs/>
                <w:sz w:val="20"/>
                <w:szCs w:val="20"/>
                <w:lang w:eastAsia="en-US"/>
              </w:rPr>
            </w:pPr>
            <w:r w:rsidRPr="001D67D9">
              <w:rPr>
                <w:rFonts w:ascii="Georgia" w:eastAsia="Calibri" w:hAnsi="Georgia"/>
                <w:bCs/>
                <w:sz w:val="20"/>
                <w:szCs w:val="20"/>
                <w:lang w:eastAsia="en-US"/>
              </w:rPr>
              <w:t>să țină o evidență contabilă separată a prețurilor produselor în ambalaje SGR și a valorii garanției aferente fiecăruia;</w:t>
            </w:r>
          </w:p>
          <w:p w14:paraId="27CCE21D" w14:textId="15814D9B" w:rsidR="00752A7F" w:rsidRPr="001D67D9" w:rsidRDefault="00752A7F" w:rsidP="00752A7F">
            <w:pPr>
              <w:pStyle w:val="BodyText"/>
              <w:widowControl w:val="0"/>
              <w:numPr>
                <w:ilvl w:val="0"/>
                <w:numId w:val="20"/>
              </w:numPr>
              <w:spacing w:after="240" w:line="320" w:lineRule="exact"/>
              <w:jc w:val="both"/>
              <w:rPr>
                <w:rFonts w:ascii="Georgia" w:hAnsi="Georgia"/>
                <w:bCs/>
                <w:color w:val="auto"/>
                <w:sz w:val="20"/>
                <w:lang w:bidi="ar-SA"/>
              </w:rPr>
            </w:pPr>
            <w:r w:rsidRPr="001D67D9">
              <w:rPr>
                <w:rFonts w:ascii="Georgia" w:hAnsi="Georgia"/>
                <w:bCs/>
                <w:color w:val="auto"/>
                <w:sz w:val="20"/>
                <w:lang w:bidi="ar-SA"/>
              </w:rPr>
              <w:t>să marcheze ambalajele SGR.</w:t>
            </w:r>
          </w:p>
          <w:p w14:paraId="5991D555" w14:textId="63CEDCC1" w:rsidR="00752A7F" w:rsidRPr="001D67D9" w:rsidRDefault="00752A7F" w:rsidP="00752A7F">
            <w:pPr>
              <w:pStyle w:val="BodyText"/>
              <w:widowControl w:val="0"/>
              <w:numPr>
                <w:ilvl w:val="0"/>
                <w:numId w:val="19"/>
              </w:numPr>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 Comercianți, printre care:</w:t>
            </w:r>
          </w:p>
          <w:p w14:paraId="11F7BB06" w14:textId="01169C97" w:rsidR="00752A7F" w:rsidRPr="001D67D9" w:rsidRDefault="00752A7F" w:rsidP="00752A7F">
            <w:pPr>
              <w:pStyle w:val="BodyText"/>
              <w:widowControl w:val="0"/>
              <w:numPr>
                <w:ilvl w:val="0"/>
                <w:numId w:val="22"/>
              </w:numPr>
              <w:spacing w:before="100" w:beforeAutospacing="1" w:after="240" w:line="320" w:lineRule="exact"/>
              <w:ind w:left="1434" w:hanging="357"/>
              <w:jc w:val="both"/>
              <w:rPr>
                <w:rFonts w:ascii="Georgia" w:hAnsi="Georgia"/>
                <w:bCs/>
                <w:color w:val="auto"/>
                <w:sz w:val="20"/>
                <w:lang w:bidi="ar-SA"/>
              </w:rPr>
            </w:pPr>
            <w:r w:rsidRPr="001D67D9">
              <w:rPr>
                <w:rFonts w:ascii="Georgia" w:hAnsi="Georgia"/>
                <w:bCs/>
                <w:color w:val="auto"/>
                <w:sz w:val="20"/>
                <w:lang w:bidi="ar-SA"/>
              </w:rPr>
              <w:t>să contracteze cu Administratorul sistemului în vederea participării la sistemul de garanție-returnare;</w:t>
            </w:r>
          </w:p>
          <w:p w14:paraId="51580CB7" w14:textId="2A02C589" w:rsidR="00752A7F" w:rsidRPr="001D67D9" w:rsidRDefault="00752A7F" w:rsidP="00752A7F">
            <w:pPr>
              <w:pStyle w:val="ListParagraph"/>
              <w:numPr>
                <w:ilvl w:val="0"/>
                <w:numId w:val="22"/>
              </w:numPr>
              <w:spacing w:before="100" w:beforeAutospacing="1" w:after="240" w:line="320" w:lineRule="exact"/>
              <w:ind w:left="1434" w:hanging="357"/>
              <w:rPr>
                <w:rFonts w:ascii="Georgia" w:eastAsia="Calibri" w:hAnsi="Georgia"/>
                <w:bCs/>
                <w:sz w:val="20"/>
                <w:szCs w:val="20"/>
                <w:lang w:eastAsia="en-US"/>
              </w:rPr>
            </w:pPr>
            <w:r w:rsidRPr="001D67D9">
              <w:rPr>
                <w:rFonts w:ascii="Georgia" w:eastAsia="Calibri" w:hAnsi="Georgia"/>
                <w:bCs/>
                <w:sz w:val="20"/>
                <w:szCs w:val="20"/>
                <w:lang w:eastAsia="en-US"/>
              </w:rPr>
              <w:t xml:space="preserve">să aplice garanția pentru produsele supuse sistemului de garanție-returnare; </w:t>
            </w:r>
          </w:p>
          <w:p w14:paraId="3892C7F6" w14:textId="25D89749" w:rsidR="00752A7F" w:rsidRPr="001D67D9" w:rsidRDefault="00752A7F" w:rsidP="00752A7F">
            <w:pPr>
              <w:pStyle w:val="ListParagraph"/>
              <w:numPr>
                <w:ilvl w:val="0"/>
                <w:numId w:val="22"/>
              </w:numPr>
              <w:spacing w:before="100" w:beforeAutospacing="1" w:after="240" w:line="320" w:lineRule="exact"/>
              <w:ind w:left="1434" w:hanging="357"/>
              <w:rPr>
                <w:rFonts w:ascii="Georgia" w:eastAsia="Calibri" w:hAnsi="Georgia"/>
                <w:bCs/>
                <w:sz w:val="20"/>
                <w:szCs w:val="20"/>
                <w:lang w:eastAsia="en-US"/>
              </w:rPr>
            </w:pPr>
            <w:r w:rsidRPr="001D67D9">
              <w:rPr>
                <w:rFonts w:ascii="Georgia" w:eastAsia="Calibri" w:hAnsi="Georgia"/>
                <w:bCs/>
                <w:sz w:val="20"/>
                <w:szCs w:val="20"/>
                <w:lang w:eastAsia="en-US"/>
              </w:rPr>
              <w:t>să indice distinct cuantumul garanției de returnare pe eticheta de preț şi pe documentele fiscale aferente produsului ambalat;</w:t>
            </w:r>
          </w:p>
          <w:p w14:paraId="34BB859E" w14:textId="6783350F" w:rsidR="00752A7F" w:rsidRPr="001D67D9" w:rsidRDefault="00752A7F" w:rsidP="00752A7F">
            <w:pPr>
              <w:pStyle w:val="ListParagraph"/>
              <w:numPr>
                <w:ilvl w:val="0"/>
                <w:numId w:val="22"/>
              </w:numPr>
              <w:spacing w:before="100" w:beforeAutospacing="1" w:after="240" w:line="320" w:lineRule="exact"/>
              <w:ind w:left="1434" w:hanging="357"/>
              <w:jc w:val="both"/>
              <w:rPr>
                <w:rFonts w:ascii="Georgia" w:eastAsia="Calibri" w:hAnsi="Georgia"/>
                <w:bCs/>
                <w:sz w:val="20"/>
                <w:szCs w:val="20"/>
                <w:lang w:eastAsia="en-US"/>
              </w:rPr>
            </w:pPr>
            <w:r w:rsidRPr="001D67D9">
              <w:rPr>
                <w:rFonts w:ascii="Georgia" w:eastAsia="Calibri" w:hAnsi="Georgia"/>
                <w:bCs/>
                <w:sz w:val="20"/>
                <w:szCs w:val="20"/>
                <w:lang w:eastAsia="en-US"/>
              </w:rPr>
              <w:t>să preia ambalajele nereutilizabile supuse plății unei garanții fără restricții asupra cantității returnate și fără a fi necesară dovada achiziționării ambalajelor din cadrul structurii de vânzare unde este organizat punctul de returnare a ambalajelor;</w:t>
            </w:r>
          </w:p>
          <w:p w14:paraId="04306A92" w14:textId="0CD878B1" w:rsidR="00752A7F" w:rsidRPr="001D67D9" w:rsidRDefault="00752A7F" w:rsidP="00752A7F">
            <w:pPr>
              <w:pStyle w:val="BodyText"/>
              <w:widowControl w:val="0"/>
              <w:spacing w:after="240" w:line="320" w:lineRule="exact"/>
              <w:jc w:val="both"/>
              <w:rPr>
                <w:rFonts w:ascii="Georgia" w:hAnsi="Georgia"/>
                <w:bCs/>
                <w:color w:val="auto"/>
                <w:sz w:val="20"/>
                <w:lang w:bidi="ar-SA"/>
              </w:rPr>
            </w:pPr>
            <w:r w:rsidRPr="001D67D9">
              <w:rPr>
                <w:rFonts w:ascii="Georgia" w:hAnsi="Georgia"/>
                <w:bCs/>
                <w:color w:val="auto"/>
                <w:sz w:val="20"/>
                <w:lang w:bidi="ar-SA"/>
              </w:rPr>
              <w:t xml:space="preserve">De asemenea, se instituie în sarcina autorităților publice competente, atribuții specifice pentru constatarea încălcării obligațiilor prevăzute de prezenta hotărâre. În acest sens, vor avea competența de a supraveghea funcționarea conformă a sistemului de garanție-returnare </w:t>
            </w:r>
            <w:r>
              <w:rPr>
                <w:rFonts w:ascii="Georgia" w:hAnsi="Georgia"/>
                <w:bCs/>
                <w:color w:val="auto"/>
                <w:sz w:val="20"/>
                <w:lang w:bidi="ar-SA"/>
              </w:rPr>
              <w:t xml:space="preserve">Comisia de </w:t>
            </w:r>
            <w:r w:rsidRPr="00F61E69">
              <w:rPr>
                <w:rFonts w:ascii="Georgia" w:hAnsi="Georgia"/>
                <w:bCs/>
                <w:color w:val="auto"/>
                <w:sz w:val="20"/>
                <w:lang w:bidi="ar-SA"/>
              </w:rPr>
              <w:t>supraveghere a răspunderii extinse a producătorilor</w:t>
            </w:r>
            <w:r>
              <w:rPr>
                <w:rFonts w:ascii="Georgia" w:hAnsi="Georgia"/>
                <w:bCs/>
                <w:color w:val="auto"/>
                <w:sz w:val="20"/>
                <w:lang w:bidi="ar-SA"/>
              </w:rPr>
              <w:t xml:space="preserve">, </w:t>
            </w:r>
            <w:r w:rsidRPr="001D67D9">
              <w:rPr>
                <w:rFonts w:ascii="Georgia" w:hAnsi="Georgia"/>
                <w:bCs/>
                <w:color w:val="auto"/>
                <w:sz w:val="20"/>
                <w:lang w:bidi="ar-SA"/>
              </w:rPr>
              <w:t xml:space="preserve">Garda de Mediu, Agenția Națională pentru Protecția Consumatorului și </w:t>
            </w:r>
            <w:r w:rsidR="00010D6C">
              <w:rPr>
                <w:rFonts w:ascii="Georgia" w:hAnsi="Georgia"/>
                <w:bCs/>
                <w:color w:val="auto"/>
                <w:sz w:val="20"/>
                <w:lang w:bidi="ar-SA"/>
              </w:rPr>
              <w:t>Administrația</w:t>
            </w:r>
            <w:bookmarkStart w:id="0" w:name="_GoBack"/>
            <w:bookmarkEnd w:id="0"/>
            <w:r w:rsidRPr="001D67D9">
              <w:rPr>
                <w:rFonts w:ascii="Georgia" w:hAnsi="Georgia"/>
                <w:bCs/>
                <w:color w:val="auto"/>
                <w:sz w:val="20"/>
                <w:lang w:bidi="ar-SA"/>
              </w:rPr>
              <w:t xml:space="preserve"> Fondului pentru Mediu.</w:t>
            </w:r>
          </w:p>
        </w:tc>
      </w:tr>
      <w:tr w:rsidR="00752A7F" w:rsidRPr="001D67D9" w14:paraId="55C1EBA5" w14:textId="77777777" w:rsidTr="002D52F7">
        <w:tc>
          <w:tcPr>
            <w:tcW w:w="2106" w:type="dxa"/>
            <w:gridSpan w:val="2"/>
          </w:tcPr>
          <w:p w14:paraId="39043F92" w14:textId="2D0653CE" w:rsidR="00752A7F" w:rsidRPr="001D67D9" w:rsidRDefault="00752A7F" w:rsidP="00752A7F">
            <w:pPr>
              <w:rPr>
                <w:rFonts w:ascii="Georgia" w:hAnsi="Georgia"/>
                <w:color w:val="auto"/>
                <w:sz w:val="20"/>
              </w:rPr>
            </w:pPr>
            <w:r w:rsidRPr="001D67D9">
              <w:rPr>
                <w:rFonts w:ascii="Georgia" w:hAnsi="Georgia"/>
                <w:color w:val="auto"/>
                <w:sz w:val="20"/>
              </w:rPr>
              <w:lastRenderedPageBreak/>
              <w:t>3. Alte informaţii</w:t>
            </w:r>
          </w:p>
        </w:tc>
        <w:tc>
          <w:tcPr>
            <w:tcW w:w="7884" w:type="dxa"/>
            <w:gridSpan w:val="3"/>
          </w:tcPr>
          <w:p w14:paraId="4255198C" w14:textId="3DF3FC4D" w:rsidR="00752A7F" w:rsidRPr="001D67D9" w:rsidRDefault="00752A7F" w:rsidP="00752A7F">
            <w:pPr>
              <w:pStyle w:val="BodyText"/>
              <w:spacing w:after="0"/>
              <w:jc w:val="both"/>
              <w:rPr>
                <w:rFonts w:ascii="Georgia" w:hAnsi="Georgia"/>
                <w:color w:val="auto"/>
                <w:sz w:val="20"/>
              </w:rPr>
            </w:pPr>
            <w:r w:rsidRPr="001D67D9">
              <w:rPr>
                <w:rFonts w:ascii="Georgia" w:hAnsi="Georgia"/>
                <w:color w:val="auto"/>
                <w:sz w:val="20"/>
              </w:rPr>
              <w:t>Nu au fost identificate.</w:t>
            </w:r>
          </w:p>
        </w:tc>
      </w:tr>
      <w:tr w:rsidR="00752A7F" w:rsidRPr="001D67D9" w14:paraId="2CE0FE6E" w14:textId="77777777" w:rsidTr="002D52F7">
        <w:trPr>
          <w:gridAfter w:val="1"/>
          <w:wAfter w:w="7" w:type="dxa"/>
          <w:trHeight w:val="493"/>
        </w:trPr>
        <w:tc>
          <w:tcPr>
            <w:tcW w:w="9983" w:type="dxa"/>
            <w:gridSpan w:val="4"/>
          </w:tcPr>
          <w:p w14:paraId="54646F6B" w14:textId="77777777" w:rsidR="00752A7F" w:rsidRPr="001D67D9" w:rsidRDefault="00752A7F" w:rsidP="00752A7F">
            <w:pPr>
              <w:rPr>
                <w:rFonts w:ascii="Georgia" w:hAnsi="Georgia"/>
                <w:b/>
                <w:color w:val="auto"/>
                <w:sz w:val="20"/>
              </w:rPr>
            </w:pPr>
          </w:p>
          <w:p w14:paraId="2C1342E6" w14:textId="77777777" w:rsidR="00752A7F" w:rsidRPr="001D67D9" w:rsidRDefault="00752A7F" w:rsidP="00752A7F">
            <w:pPr>
              <w:jc w:val="center"/>
              <w:rPr>
                <w:rFonts w:ascii="Georgia" w:hAnsi="Georgia"/>
                <w:b/>
                <w:color w:val="auto"/>
                <w:sz w:val="20"/>
              </w:rPr>
            </w:pPr>
            <w:r w:rsidRPr="001D67D9">
              <w:rPr>
                <w:rFonts w:ascii="Georgia" w:hAnsi="Georgia"/>
                <w:b/>
                <w:color w:val="auto"/>
                <w:sz w:val="20"/>
              </w:rPr>
              <w:t>Secţiunea a 3-a</w:t>
            </w:r>
            <w:r w:rsidRPr="00216160">
              <w:rPr>
                <w:rFonts w:ascii="Georgia" w:hAnsi="Georgia"/>
                <w:b/>
                <w:color w:val="auto"/>
                <w:sz w:val="20"/>
              </w:rPr>
              <w:t>: Impactul socio-economic al proiectului de act normativ</w:t>
            </w:r>
          </w:p>
          <w:p w14:paraId="59D3C95E" w14:textId="6E426F4A" w:rsidR="00752A7F" w:rsidRPr="001D67D9" w:rsidRDefault="00752A7F" w:rsidP="00752A7F">
            <w:pPr>
              <w:rPr>
                <w:rFonts w:ascii="Georgia" w:hAnsi="Georgia"/>
                <w:b/>
                <w:color w:val="auto"/>
                <w:sz w:val="20"/>
              </w:rPr>
            </w:pPr>
          </w:p>
        </w:tc>
      </w:tr>
      <w:tr w:rsidR="00752A7F" w:rsidRPr="001D67D9" w14:paraId="5E0E2617" w14:textId="77777777" w:rsidTr="00BA3814">
        <w:trPr>
          <w:gridAfter w:val="1"/>
          <w:wAfter w:w="7" w:type="dxa"/>
          <w:trHeight w:val="737"/>
        </w:trPr>
        <w:tc>
          <w:tcPr>
            <w:tcW w:w="2093" w:type="dxa"/>
          </w:tcPr>
          <w:p w14:paraId="4E8D8F49" w14:textId="04711DC4" w:rsidR="00752A7F" w:rsidRPr="001D67D9" w:rsidRDefault="00752A7F" w:rsidP="00752A7F">
            <w:pPr>
              <w:rPr>
                <w:rFonts w:ascii="Georgia" w:hAnsi="Georgia"/>
                <w:color w:val="auto"/>
                <w:sz w:val="20"/>
              </w:rPr>
            </w:pPr>
            <w:r w:rsidRPr="001D67D9">
              <w:rPr>
                <w:rFonts w:ascii="Georgia" w:hAnsi="Georgia"/>
                <w:color w:val="auto"/>
                <w:sz w:val="20"/>
              </w:rPr>
              <w:t>1. Impactul macroeconomic</w:t>
            </w:r>
          </w:p>
        </w:tc>
        <w:tc>
          <w:tcPr>
            <w:tcW w:w="7890" w:type="dxa"/>
            <w:gridSpan w:val="3"/>
          </w:tcPr>
          <w:p w14:paraId="02E151E8" w14:textId="331781FD" w:rsidR="00752A7F" w:rsidRDefault="00752A7F" w:rsidP="00752A7F">
            <w:pPr>
              <w:pStyle w:val="BodyText"/>
              <w:jc w:val="both"/>
              <w:rPr>
                <w:rFonts w:ascii="Georgia" w:hAnsi="Georgia"/>
                <w:color w:val="auto"/>
                <w:sz w:val="20"/>
              </w:rPr>
            </w:pPr>
            <w:r>
              <w:rPr>
                <w:rFonts w:ascii="Georgia" w:hAnsi="Georgia"/>
                <w:color w:val="auto"/>
                <w:sz w:val="20"/>
              </w:rPr>
              <w:t>Creșterea ratelor de colectare va determina,</w:t>
            </w:r>
            <w:r>
              <w:t xml:space="preserve"> </w:t>
            </w:r>
            <w:r w:rsidRPr="00216160">
              <w:rPr>
                <w:rFonts w:ascii="Georgia" w:hAnsi="Georgia"/>
                <w:color w:val="auto"/>
                <w:sz w:val="20"/>
              </w:rPr>
              <w:t>la nivel național</w:t>
            </w:r>
            <w:r>
              <w:rPr>
                <w:rFonts w:ascii="Georgia" w:hAnsi="Georgia"/>
                <w:color w:val="auto"/>
                <w:sz w:val="20"/>
              </w:rPr>
              <w:t xml:space="preserve">, inclusiv o mai bună eficiență economică. Costurile implementării și funcționării sistemului de garanție-returnare vor fi suportate în integralitate de către producători, nefiind necesare implicații economice </w:t>
            </w:r>
            <w:r w:rsidR="00437497">
              <w:rPr>
                <w:rFonts w:ascii="Georgia" w:hAnsi="Georgia"/>
                <w:color w:val="auto"/>
                <w:sz w:val="20"/>
              </w:rPr>
              <w:t xml:space="preserve">din partea </w:t>
            </w:r>
            <w:r>
              <w:rPr>
                <w:rFonts w:ascii="Georgia" w:hAnsi="Georgia"/>
                <w:color w:val="auto"/>
                <w:sz w:val="20"/>
              </w:rPr>
              <w:t xml:space="preserve">celorlalți operatori economici sau </w:t>
            </w:r>
            <w:r w:rsidR="00437497">
              <w:rPr>
                <w:rFonts w:ascii="Georgia" w:hAnsi="Georgia"/>
                <w:color w:val="auto"/>
                <w:sz w:val="20"/>
              </w:rPr>
              <w:t>din partea</w:t>
            </w:r>
            <w:r>
              <w:rPr>
                <w:rFonts w:ascii="Georgia" w:hAnsi="Georgia"/>
                <w:color w:val="auto"/>
                <w:sz w:val="20"/>
              </w:rPr>
              <w:t xml:space="preserve"> statului. </w:t>
            </w:r>
          </w:p>
          <w:p w14:paraId="27BECEBE" w14:textId="58A35C91" w:rsidR="00752A7F" w:rsidRPr="001D67D9" w:rsidRDefault="00752A7F" w:rsidP="00752A7F">
            <w:pPr>
              <w:pStyle w:val="BodyText"/>
              <w:jc w:val="both"/>
              <w:rPr>
                <w:rFonts w:ascii="Georgia" w:hAnsi="Georgia"/>
                <w:color w:val="auto"/>
                <w:sz w:val="20"/>
              </w:rPr>
            </w:pPr>
            <w:r>
              <w:rPr>
                <w:rFonts w:ascii="Georgia" w:hAnsi="Georgia"/>
                <w:color w:val="auto"/>
                <w:sz w:val="20"/>
              </w:rPr>
              <w:t xml:space="preserve">Mai mult, sistemul de garanție-returnare va oferi posibilități de economisire pentru operatorii economici implicați, prin reducerea volumului de deșeuri și implicit a costurilor </w:t>
            </w:r>
            <w:r w:rsidRPr="00F616DD">
              <w:rPr>
                <w:rFonts w:ascii="Georgia" w:hAnsi="Georgia"/>
                <w:color w:val="auto"/>
                <w:sz w:val="20"/>
              </w:rPr>
              <w:t xml:space="preserve">derivate din </w:t>
            </w:r>
            <w:r>
              <w:rPr>
                <w:rFonts w:ascii="Georgia" w:hAnsi="Georgia"/>
                <w:color w:val="auto"/>
                <w:sz w:val="20"/>
              </w:rPr>
              <w:t xml:space="preserve">gestiunea acestora. </w:t>
            </w:r>
          </w:p>
        </w:tc>
      </w:tr>
      <w:tr w:rsidR="00752A7F" w:rsidRPr="001D67D9" w14:paraId="4C80186A" w14:textId="77777777" w:rsidTr="002D52F7">
        <w:trPr>
          <w:gridAfter w:val="1"/>
          <w:wAfter w:w="7" w:type="dxa"/>
          <w:trHeight w:val="1152"/>
        </w:trPr>
        <w:tc>
          <w:tcPr>
            <w:tcW w:w="2093" w:type="dxa"/>
          </w:tcPr>
          <w:p w14:paraId="5FD81CBE" w14:textId="77777777" w:rsidR="00752A7F" w:rsidRPr="001D67D9" w:rsidRDefault="00752A7F" w:rsidP="00752A7F">
            <w:pPr>
              <w:rPr>
                <w:rFonts w:ascii="Georgia" w:hAnsi="Georgia"/>
                <w:color w:val="auto"/>
                <w:sz w:val="20"/>
              </w:rPr>
            </w:pPr>
            <w:r w:rsidRPr="001D67D9">
              <w:rPr>
                <w:rFonts w:ascii="Georgia" w:hAnsi="Georgia"/>
                <w:color w:val="auto"/>
                <w:sz w:val="20"/>
              </w:rPr>
              <w:t>1</w:t>
            </w:r>
            <w:r w:rsidRPr="001D67D9">
              <w:rPr>
                <w:rFonts w:ascii="Georgia" w:hAnsi="Georgia"/>
                <w:color w:val="auto"/>
                <w:sz w:val="20"/>
                <w:vertAlign w:val="superscript"/>
              </w:rPr>
              <w:t>1</w:t>
            </w:r>
            <w:r w:rsidRPr="001D67D9">
              <w:rPr>
                <w:rFonts w:ascii="Georgia" w:hAnsi="Georgia"/>
                <w:color w:val="auto"/>
                <w:sz w:val="20"/>
              </w:rPr>
              <w:t>.Impactul asupra mediului concurenţial şi domeniului ajutoarelor de stat</w:t>
            </w:r>
          </w:p>
        </w:tc>
        <w:tc>
          <w:tcPr>
            <w:tcW w:w="7890" w:type="dxa"/>
            <w:gridSpan w:val="3"/>
          </w:tcPr>
          <w:p w14:paraId="00D37D71" w14:textId="46AF832B"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6AF19C53" w14:textId="77777777" w:rsidTr="002D52F7">
        <w:trPr>
          <w:gridAfter w:val="1"/>
          <w:wAfter w:w="7" w:type="dxa"/>
          <w:trHeight w:val="672"/>
        </w:trPr>
        <w:tc>
          <w:tcPr>
            <w:tcW w:w="2093" w:type="dxa"/>
          </w:tcPr>
          <w:p w14:paraId="69357578" w14:textId="028FA593" w:rsidR="00752A7F" w:rsidRPr="001D67D9" w:rsidRDefault="00752A7F" w:rsidP="00752A7F">
            <w:pPr>
              <w:rPr>
                <w:rFonts w:ascii="Georgia" w:hAnsi="Georgia"/>
                <w:color w:val="auto"/>
                <w:sz w:val="20"/>
              </w:rPr>
            </w:pPr>
            <w:r w:rsidRPr="001D67D9">
              <w:rPr>
                <w:rFonts w:ascii="Georgia" w:hAnsi="Georgia"/>
                <w:color w:val="auto"/>
                <w:sz w:val="20"/>
              </w:rPr>
              <w:lastRenderedPageBreak/>
              <w:t>2. Impactul asupra mediului de afaceri</w:t>
            </w:r>
          </w:p>
        </w:tc>
        <w:tc>
          <w:tcPr>
            <w:tcW w:w="7890" w:type="dxa"/>
            <w:gridSpan w:val="3"/>
          </w:tcPr>
          <w:p w14:paraId="42E87587" w14:textId="1F838087"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66E6AA73" w14:textId="77777777" w:rsidTr="002D52F7">
        <w:trPr>
          <w:gridAfter w:val="1"/>
          <w:wAfter w:w="7" w:type="dxa"/>
          <w:trHeight w:val="593"/>
        </w:trPr>
        <w:tc>
          <w:tcPr>
            <w:tcW w:w="2093" w:type="dxa"/>
          </w:tcPr>
          <w:p w14:paraId="520705A7" w14:textId="5BCFA2CF" w:rsidR="00752A7F" w:rsidRPr="001D67D9" w:rsidRDefault="00752A7F" w:rsidP="00752A7F">
            <w:pPr>
              <w:rPr>
                <w:rFonts w:ascii="Georgia" w:hAnsi="Georgia"/>
                <w:color w:val="auto"/>
                <w:sz w:val="20"/>
              </w:rPr>
            </w:pPr>
            <w:r w:rsidRPr="001D67D9">
              <w:rPr>
                <w:rFonts w:ascii="Georgia" w:hAnsi="Georgia"/>
                <w:color w:val="auto"/>
                <w:sz w:val="20"/>
              </w:rPr>
              <w:t>2</w:t>
            </w:r>
            <w:r w:rsidRPr="001D67D9">
              <w:rPr>
                <w:rFonts w:ascii="Georgia" w:hAnsi="Georgia"/>
                <w:color w:val="auto"/>
                <w:sz w:val="20"/>
                <w:vertAlign w:val="superscript"/>
              </w:rPr>
              <w:t xml:space="preserve">1 </w:t>
            </w:r>
            <w:r w:rsidRPr="001D67D9">
              <w:rPr>
                <w:rFonts w:ascii="Georgia" w:hAnsi="Georgia"/>
                <w:color w:val="auto"/>
                <w:sz w:val="20"/>
              </w:rPr>
              <w:t>Impactul asupra sarcinilor administrative</w:t>
            </w:r>
          </w:p>
        </w:tc>
        <w:tc>
          <w:tcPr>
            <w:tcW w:w="7890" w:type="dxa"/>
            <w:gridSpan w:val="3"/>
          </w:tcPr>
          <w:p w14:paraId="7270A7EA" w14:textId="691B895C" w:rsidR="00752A7F" w:rsidRPr="00C37F60" w:rsidRDefault="00C37F60" w:rsidP="00752A7F">
            <w:pPr>
              <w:pStyle w:val="BodyText"/>
              <w:jc w:val="both"/>
              <w:rPr>
                <w:rFonts w:ascii="Georgia" w:hAnsi="Georgia"/>
                <w:color w:val="auto"/>
                <w:sz w:val="20"/>
              </w:rPr>
            </w:pPr>
            <w:r w:rsidRPr="00C37F60">
              <w:rPr>
                <w:rFonts w:ascii="Georgia" w:hAnsi="Georgia"/>
                <w:color w:val="auto"/>
                <w:sz w:val="20"/>
              </w:rPr>
              <w:t>Administratorul sistemului este singura entitate responsabilă economic, logistic și operațional de implementarea și funcționarea sistemului de garanție-returnare</w:t>
            </w:r>
            <w:r w:rsidR="000A3DB9">
              <w:rPr>
                <w:rFonts w:ascii="Georgia" w:hAnsi="Georgia"/>
                <w:color w:val="auto"/>
                <w:sz w:val="20"/>
              </w:rPr>
              <w:t>, iar acesta se va constitui exclusiv prin grija producătorilor</w:t>
            </w:r>
            <w:r w:rsidRPr="00C37F60">
              <w:rPr>
                <w:rFonts w:ascii="Georgia" w:hAnsi="Georgia"/>
                <w:color w:val="auto"/>
                <w:sz w:val="20"/>
              </w:rPr>
              <w:t xml:space="preserve">. </w:t>
            </w:r>
            <w:r>
              <w:rPr>
                <w:rFonts w:ascii="Georgia" w:hAnsi="Georgia"/>
                <w:color w:val="auto"/>
                <w:sz w:val="20"/>
              </w:rPr>
              <w:t xml:space="preserve">Atribuțiile statului și ale autorităților publice centrale și locale </w:t>
            </w:r>
            <w:r w:rsidR="00437497">
              <w:rPr>
                <w:rFonts w:ascii="Georgia" w:hAnsi="Georgia"/>
                <w:color w:val="auto"/>
                <w:sz w:val="20"/>
              </w:rPr>
              <w:t>vor</w:t>
            </w:r>
            <w:r>
              <w:rPr>
                <w:rFonts w:ascii="Georgia" w:hAnsi="Georgia"/>
                <w:color w:val="auto"/>
                <w:sz w:val="20"/>
              </w:rPr>
              <w:t xml:space="preserve"> fi limitat</w:t>
            </w:r>
            <w:r w:rsidR="00437497">
              <w:rPr>
                <w:rFonts w:ascii="Georgia" w:hAnsi="Georgia"/>
                <w:color w:val="auto"/>
                <w:sz w:val="20"/>
              </w:rPr>
              <w:t>e</w:t>
            </w:r>
            <w:r>
              <w:rPr>
                <w:rFonts w:ascii="Georgia" w:hAnsi="Georgia"/>
                <w:color w:val="auto"/>
                <w:sz w:val="20"/>
              </w:rPr>
              <w:t xml:space="preserve"> la supravegherea și controlul implementării </w:t>
            </w:r>
            <w:r w:rsidR="00437497">
              <w:rPr>
                <w:rFonts w:ascii="Georgia" w:hAnsi="Georgia"/>
                <w:color w:val="auto"/>
                <w:sz w:val="20"/>
              </w:rPr>
              <w:t xml:space="preserve">și a </w:t>
            </w:r>
            <w:r w:rsidR="00437497" w:rsidRPr="00437497">
              <w:rPr>
                <w:rFonts w:ascii="Georgia" w:hAnsi="Georgia"/>
                <w:color w:val="auto"/>
                <w:sz w:val="20"/>
              </w:rPr>
              <w:t xml:space="preserve">raportării </w:t>
            </w:r>
            <w:r>
              <w:rPr>
                <w:rFonts w:ascii="Georgia" w:hAnsi="Georgia"/>
                <w:color w:val="auto"/>
                <w:sz w:val="20"/>
              </w:rPr>
              <w:t xml:space="preserve">conforme. </w:t>
            </w:r>
          </w:p>
        </w:tc>
      </w:tr>
      <w:tr w:rsidR="00752A7F" w:rsidRPr="001D67D9" w14:paraId="1321AC62" w14:textId="77777777" w:rsidTr="002D52F7">
        <w:trPr>
          <w:gridAfter w:val="1"/>
          <w:wAfter w:w="7" w:type="dxa"/>
        </w:trPr>
        <w:tc>
          <w:tcPr>
            <w:tcW w:w="2093" w:type="dxa"/>
          </w:tcPr>
          <w:p w14:paraId="3A25F417" w14:textId="47A5D810" w:rsidR="00752A7F" w:rsidRPr="001D67D9" w:rsidRDefault="00752A7F" w:rsidP="00752A7F">
            <w:pPr>
              <w:rPr>
                <w:rFonts w:ascii="Georgia" w:hAnsi="Georgia"/>
                <w:color w:val="auto"/>
                <w:sz w:val="20"/>
              </w:rPr>
            </w:pPr>
            <w:r w:rsidRPr="001D67D9">
              <w:rPr>
                <w:rFonts w:ascii="Georgia" w:hAnsi="Georgia"/>
                <w:color w:val="auto"/>
                <w:sz w:val="20"/>
              </w:rPr>
              <w:t>2</w:t>
            </w:r>
            <w:r w:rsidRPr="001D67D9">
              <w:rPr>
                <w:rFonts w:ascii="Georgia" w:hAnsi="Georgia"/>
                <w:color w:val="auto"/>
                <w:sz w:val="20"/>
                <w:vertAlign w:val="superscript"/>
              </w:rPr>
              <w:t>2</w:t>
            </w:r>
            <w:r w:rsidRPr="001D67D9">
              <w:rPr>
                <w:rFonts w:ascii="Georgia" w:hAnsi="Georgia"/>
                <w:color w:val="auto"/>
                <w:sz w:val="20"/>
              </w:rPr>
              <w:t xml:space="preserve"> Impactul asupra întreprinderilor mici şi mijlocii</w:t>
            </w:r>
          </w:p>
        </w:tc>
        <w:tc>
          <w:tcPr>
            <w:tcW w:w="7890" w:type="dxa"/>
            <w:gridSpan w:val="3"/>
          </w:tcPr>
          <w:p w14:paraId="5D11E8ED" w14:textId="501EDF54"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1FEBEABA" w14:textId="77777777" w:rsidTr="002D52F7">
        <w:trPr>
          <w:gridAfter w:val="1"/>
          <w:wAfter w:w="7" w:type="dxa"/>
        </w:trPr>
        <w:tc>
          <w:tcPr>
            <w:tcW w:w="2093" w:type="dxa"/>
          </w:tcPr>
          <w:p w14:paraId="79DE5439" w14:textId="77777777" w:rsidR="00752A7F" w:rsidRPr="001D67D9" w:rsidRDefault="00752A7F" w:rsidP="00752A7F">
            <w:pPr>
              <w:rPr>
                <w:rFonts w:ascii="Georgia" w:hAnsi="Georgia"/>
                <w:color w:val="auto"/>
                <w:sz w:val="20"/>
              </w:rPr>
            </w:pPr>
            <w:r w:rsidRPr="001D67D9">
              <w:rPr>
                <w:rFonts w:ascii="Georgia" w:hAnsi="Georgia"/>
                <w:color w:val="auto"/>
                <w:sz w:val="20"/>
              </w:rPr>
              <w:t>3. Impactul social</w:t>
            </w:r>
          </w:p>
          <w:p w14:paraId="0DDEEEBE" w14:textId="7CCA59A7" w:rsidR="00752A7F" w:rsidRPr="001D67D9" w:rsidRDefault="00752A7F" w:rsidP="00752A7F">
            <w:pPr>
              <w:rPr>
                <w:rFonts w:ascii="Georgia" w:hAnsi="Georgia"/>
                <w:color w:val="auto"/>
                <w:sz w:val="20"/>
              </w:rPr>
            </w:pPr>
          </w:p>
        </w:tc>
        <w:tc>
          <w:tcPr>
            <w:tcW w:w="7890" w:type="dxa"/>
            <w:gridSpan w:val="3"/>
          </w:tcPr>
          <w:p w14:paraId="23B4466F" w14:textId="1B99B21E" w:rsidR="00752A7F" w:rsidRDefault="00752A7F" w:rsidP="00752A7F">
            <w:pPr>
              <w:pStyle w:val="BodyText"/>
              <w:jc w:val="both"/>
              <w:rPr>
                <w:rFonts w:ascii="Georgia" w:hAnsi="Georgia"/>
                <w:color w:val="auto"/>
                <w:sz w:val="20"/>
              </w:rPr>
            </w:pPr>
            <w:r>
              <w:rPr>
                <w:rFonts w:ascii="Georgia" w:hAnsi="Georgia"/>
                <w:color w:val="auto"/>
                <w:sz w:val="20"/>
              </w:rPr>
              <w:t xml:space="preserve">Implementarea și funcționarea sistemului de garanție-returnare va avea un efect primordial asupra comportamentului consumatorilor finali. În acest sens, finalitatea și eficiența sistemului va fi direct influențată de </w:t>
            </w:r>
            <w:r w:rsidRPr="000075EA">
              <w:rPr>
                <w:rFonts w:ascii="Georgia" w:hAnsi="Georgia"/>
                <w:color w:val="auto"/>
                <w:sz w:val="20"/>
              </w:rPr>
              <w:t>conduita</w:t>
            </w:r>
            <w:r>
              <w:rPr>
                <w:rFonts w:ascii="Georgia" w:hAnsi="Georgia"/>
                <w:color w:val="auto"/>
                <w:sz w:val="20"/>
              </w:rPr>
              <w:t xml:space="preserve"> acestora, care au obligația de a returna toate ambalajele nereutilizabile aparținând sistemului de garanție-returnare. </w:t>
            </w:r>
          </w:p>
          <w:p w14:paraId="4A83E68E" w14:textId="14922E41" w:rsidR="00752A7F" w:rsidRDefault="00752A7F" w:rsidP="00752A7F">
            <w:pPr>
              <w:pStyle w:val="BodyText"/>
              <w:jc w:val="both"/>
              <w:rPr>
                <w:rFonts w:ascii="Georgia" w:hAnsi="Georgia"/>
                <w:color w:val="auto"/>
                <w:sz w:val="20"/>
              </w:rPr>
            </w:pPr>
            <w:r>
              <w:rPr>
                <w:rFonts w:ascii="Georgia" w:hAnsi="Georgia"/>
                <w:color w:val="auto"/>
                <w:sz w:val="20"/>
              </w:rPr>
              <w:t xml:space="preserve">În acest sens, trebuie să se asigure conștientizarea și responsabilizarea consumatorilor finali asupra faptului că sistemul de garanție-returnare reprezintă nu doar o metodă de protecție a mediului, dar și o modalitate eficientă de implicare și responsabilitate socială. </w:t>
            </w:r>
          </w:p>
          <w:p w14:paraId="3C7998E9" w14:textId="7CBC0159" w:rsidR="00752A7F" w:rsidRPr="00B23B52" w:rsidRDefault="00752A7F" w:rsidP="00752A7F">
            <w:pPr>
              <w:pStyle w:val="BodyText"/>
              <w:jc w:val="both"/>
              <w:rPr>
                <w:rFonts w:ascii="Georgia" w:hAnsi="Georgia"/>
                <w:color w:val="auto"/>
                <w:sz w:val="20"/>
              </w:rPr>
            </w:pPr>
            <w:r>
              <w:rPr>
                <w:rFonts w:ascii="Georgia" w:hAnsi="Georgia"/>
                <w:color w:val="auto"/>
                <w:sz w:val="20"/>
              </w:rPr>
              <w:t xml:space="preserve">În ceea ce privește impactul asupra forței de muncă, sistemul de garanție-returnare este susceptibil a crea numeroase locuri de muncă. Astfel cum rezultă din </w:t>
            </w:r>
            <w:r>
              <w:rPr>
                <w:rFonts w:ascii="Georgia" w:hAnsi="Georgia"/>
                <w:i/>
                <w:iCs/>
                <w:color w:val="auto"/>
                <w:sz w:val="20"/>
              </w:rPr>
              <w:t>„Studiul privind evaluarea sistemului de garanție, componentă a sistemului de gestionare a deșeurilor în România”</w:t>
            </w:r>
            <w:r>
              <w:rPr>
                <w:rFonts w:ascii="Georgia" w:hAnsi="Georgia"/>
                <w:color w:val="auto"/>
                <w:sz w:val="20"/>
              </w:rPr>
              <w:t>, elaborat de Academia de Studii Economice din București, 1.000 de tone de deșeu generează 0,1 locuri de muncă în cazul în care deșeurile sunt eliminate prin depozitare și între 10-15 locuri de muncă</w:t>
            </w:r>
            <w:r w:rsidR="00437497">
              <w:rPr>
                <w:rFonts w:ascii="Georgia" w:hAnsi="Georgia"/>
                <w:color w:val="auto"/>
                <w:sz w:val="20"/>
              </w:rPr>
              <w:t>,</w:t>
            </w:r>
            <w:r>
              <w:rPr>
                <w:rFonts w:ascii="Georgia" w:hAnsi="Georgia"/>
                <w:color w:val="auto"/>
                <w:sz w:val="20"/>
              </w:rPr>
              <w:t xml:space="preserve"> în cazul tratării și reciclării deșeurilor. </w:t>
            </w:r>
          </w:p>
        </w:tc>
      </w:tr>
      <w:tr w:rsidR="00752A7F" w:rsidRPr="001D67D9" w14:paraId="2F97C9F8" w14:textId="77777777" w:rsidTr="002D52F7">
        <w:trPr>
          <w:gridAfter w:val="1"/>
          <w:wAfter w:w="7" w:type="dxa"/>
        </w:trPr>
        <w:tc>
          <w:tcPr>
            <w:tcW w:w="2093" w:type="dxa"/>
          </w:tcPr>
          <w:p w14:paraId="3898B15F" w14:textId="61350987" w:rsidR="00752A7F" w:rsidRPr="001D67D9" w:rsidRDefault="00752A7F" w:rsidP="00752A7F">
            <w:pPr>
              <w:rPr>
                <w:rFonts w:ascii="Georgia" w:hAnsi="Georgia"/>
                <w:color w:val="auto"/>
                <w:sz w:val="20"/>
              </w:rPr>
            </w:pPr>
            <w:r w:rsidRPr="001D67D9">
              <w:rPr>
                <w:rFonts w:ascii="Georgia" w:hAnsi="Georgia"/>
                <w:color w:val="auto"/>
                <w:sz w:val="20"/>
              </w:rPr>
              <w:t xml:space="preserve">4. Impactul asupra mediului </w:t>
            </w:r>
          </w:p>
        </w:tc>
        <w:tc>
          <w:tcPr>
            <w:tcW w:w="7890" w:type="dxa"/>
            <w:gridSpan w:val="3"/>
          </w:tcPr>
          <w:p w14:paraId="393ADF84" w14:textId="2CD86D8D" w:rsidR="00752A7F" w:rsidRDefault="00752A7F" w:rsidP="00752A7F">
            <w:pPr>
              <w:pStyle w:val="BodyText"/>
              <w:jc w:val="both"/>
              <w:rPr>
                <w:rFonts w:ascii="Georgia" w:hAnsi="Georgia"/>
                <w:color w:val="auto"/>
                <w:sz w:val="20"/>
              </w:rPr>
            </w:pPr>
            <w:r w:rsidRPr="001D67D9">
              <w:rPr>
                <w:rFonts w:ascii="Georgia" w:hAnsi="Georgia"/>
                <w:color w:val="auto"/>
                <w:sz w:val="20"/>
              </w:rPr>
              <w:t>P</w:t>
            </w:r>
            <w:r>
              <w:rPr>
                <w:rFonts w:ascii="Georgia" w:hAnsi="Georgia"/>
                <w:color w:val="auto"/>
                <w:sz w:val="20"/>
              </w:rPr>
              <w:t>rezentul p</w:t>
            </w:r>
            <w:r w:rsidRPr="001D67D9">
              <w:rPr>
                <w:rFonts w:ascii="Georgia" w:hAnsi="Georgia"/>
                <w:color w:val="auto"/>
                <w:sz w:val="20"/>
              </w:rPr>
              <w:t>roiect de act normativ aprobă măsuri pentru îmbunătățirea managementului</w:t>
            </w:r>
            <w:r>
              <w:rPr>
                <w:rFonts w:ascii="Georgia" w:hAnsi="Georgia"/>
                <w:color w:val="auto"/>
                <w:sz w:val="20"/>
              </w:rPr>
              <w:t xml:space="preserve"> ambalajelor și ulterior a deșeurilor de ambalaje, </w:t>
            </w:r>
            <w:r w:rsidRPr="001D67D9">
              <w:rPr>
                <w:rFonts w:ascii="Georgia" w:hAnsi="Georgia"/>
                <w:color w:val="auto"/>
                <w:sz w:val="20"/>
              </w:rPr>
              <w:t xml:space="preserve">asigurând totodată protecția mediului prin </w:t>
            </w:r>
            <w:r>
              <w:rPr>
                <w:rFonts w:ascii="Georgia" w:hAnsi="Georgia"/>
                <w:color w:val="auto"/>
                <w:sz w:val="20"/>
              </w:rPr>
              <w:t>creșterea ratelor de colectare</w:t>
            </w:r>
            <w:r w:rsidRPr="001D67D9">
              <w:rPr>
                <w:rFonts w:ascii="Georgia" w:hAnsi="Georgia"/>
                <w:color w:val="auto"/>
                <w:sz w:val="20"/>
              </w:rPr>
              <w:t>.</w:t>
            </w:r>
          </w:p>
          <w:p w14:paraId="49F64CC1" w14:textId="5BBB0D53" w:rsidR="00752A7F" w:rsidRDefault="00A05512" w:rsidP="00752A7F">
            <w:pPr>
              <w:pStyle w:val="BodyText"/>
              <w:jc w:val="both"/>
              <w:rPr>
                <w:rFonts w:ascii="Georgia" w:hAnsi="Georgia"/>
                <w:color w:val="auto"/>
                <w:sz w:val="20"/>
              </w:rPr>
            </w:pPr>
            <w:r>
              <w:rPr>
                <w:rFonts w:ascii="Georgia" w:hAnsi="Georgia"/>
                <w:color w:val="auto"/>
                <w:sz w:val="20"/>
              </w:rPr>
              <w:t>I</w:t>
            </w:r>
            <w:r w:rsidR="00752A7F">
              <w:rPr>
                <w:rFonts w:ascii="Georgia" w:hAnsi="Georgia"/>
                <w:color w:val="auto"/>
                <w:sz w:val="20"/>
              </w:rPr>
              <w:t xml:space="preserve">mplementarea sistemului de garanție-returnare va asigura o durată mai mare a ciclului de viață a materialelor din care sunt realizate ambalajele nereutilizabile, va reduce emisia de gaze </w:t>
            </w:r>
            <w:r>
              <w:rPr>
                <w:rFonts w:ascii="Georgia" w:hAnsi="Georgia"/>
                <w:color w:val="auto"/>
                <w:sz w:val="20"/>
              </w:rPr>
              <w:t xml:space="preserve">cu efect </w:t>
            </w:r>
            <w:r w:rsidR="00752A7F">
              <w:rPr>
                <w:rFonts w:ascii="Georgia" w:hAnsi="Georgia"/>
                <w:color w:val="auto"/>
                <w:sz w:val="20"/>
              </w:rPr>
              <w:t>de seră produsă în procesul de fabricație al unui ambalaj valorificat, va reduce consumul de resurse naturale prin reciclare, va implica costuri reduse la transportul ambalajelor compactate și va</w:t>
            </w:r>
            <w:r w:rsidR="00752A7F" w:rsidRPr="000075EA">
              <w:rPr>
                <w:rFonts w:ascii="Georgia" w:hAnsi="Georgia"/>
                <w:color w:val="auto"/>
                <w:sz w:val="20"/>
              </w:rPr>
              <w:t xml:space="preserve"> facilit</w:t>
            </w:r>
            <w:r w:rsidR="00752A7F">
              <w:rPr>
                <w:rFonts w:ascii="Georgia" w:hAnsi="Georgia"/>
                <w:color w:val="auto"/>
                <w:sz w:val="20"/>
              </w:rPr>
              <w:t>a</w:t>
            </w:r>
            <w:r w:rsidR="00752A7F" w:rsidRPr="000075EA">
              <w:rPr>
                <w:rFonts w:ascii="Georgia" w:hAnsi="Georgia"/>
                <w:color w:val="auto"/>
                <w:sz w:val="20"/>
              </w:rPr>
              <w:t xml:space="preserve"> </w:t>
            </w:r>
            <w:r>
              <w:rPr>
                <w:rFonts w:ascii="Georgia" w:hAnsi="Georgia"/>
                <w:color w:val="auto"/>
                <w:sz w:val="20"/>
              </w:rPr>
              <w:t xml:space="preserve">implementarea mai rapidă a </w:t>
            </w:r>
            <w:r w:rsidR="00752A7F" w:rsidRPr="000075EA">
              <w:rPr>
                <w:rFonts w:ascii="Georgia" w:hAnsi="Georgia"/>
                <w:color w:val="auto"/>
                <w:sz w:val="20"/>
              </w:rPr>
              <w:t>colect</w:t>
            </w:r>
            <w:r>
              <w:rPr>
                <w:rFonts w:ascii="Georgia" w:hAnsi="Georgia"/>
                <w:color w:val="auto"/>
                <w:sz w:val="20"/>
              </w:rPr>
              <w:t>ării</w:t>
            </w:r>
            <w:r w:rsidR="00752A7F" w:rsidRPr="000075EA">
              <w:rPr>
                <w:rFonts w:ascii="Georgia" w:hAnsi="Georgia"/>
                <w:color w:val="auto"/>
                <w:sz w:val="20"/>
              </w:rPr>
              <w:t xml:space="preserve"> separat</w:t>
            </w:r>
            <w:r>
              <w:rPr>
                <w:rFonts w:ascii="Georgia" w:hAnsi="Georgia"/>
                <w:color w:val="auto"/>
                <w:sz w:val="20"/>
              </w:rPr>
              <w:t>e a deșeurilor municipale</w:t>
            </w:r>
            <w:r w:rsidR="00752A7F">
              <w:rPr>
                <w:rFonts w:ascii="Georgia" w:hAnsi="Georgia"/>
                <w:color w:val="auto"/>
                <w:sz w:val="20"/>
              </w:rPr>
              <w:t xml:space="preserve">. </w:t>
            </w:r>
          </w:p>
          <w:p w14:paraId="7CD562BF" w14:textId="77777777" w:rsidR="00752A7F" w:rsidRDefault="00752A7F" w:rsidP="00752A7F">
            <w:pPr>
              <w:pStyle w:val="BodyText"/>
              <w:jc w:val="both"/>
              <w:rPr>
                <w:rFonts w:ascii="Georgia" w:hAnsi="Georgia"/>
                <w:color w:val="auto"/>
                <w:sz w:val="20"/>
              </w:rPr>
            </w:pPr>
            <w:r>
              <w:rPr>
                <w:rFonts w:ascii="Georgia" w:hAnsi="Georgia"/>
                <w:color w:val="auto"/>
                <w:sz w:val="20"/>
              </w:rPr>
              <w:t>Impactul asupra mediului va fi cu atât mai mic, cu cât rata de returnare a ambalajelor nereutilizabile va fi mai mare. Astfel, g</w:t>
            </w:r>
            <w:r w:rsidRPr="000075EA">
              <w:rPr>
                <w:rFonts w:ascii="Georgia" w:hAnsi="Georgia"/>
                <w:color w:val="auto"/>
                <w:sz w:val="20"/>
              </w:rPr>
              <w:t>estionarea adecvată a deșeurilor rămâne esențială pentru prevenirea producerii tuturor tipurilor de deșeuri</w:t>
            </w:r>
            <w:r>
              <w:rPr>
                <w:rFonts w:ascii="Georgia" w:hAnsi="Georgia"/>
                <w:color w:val="auto"/>
                <w:sz w:val="20"/>
              </w:rPr>
              <w:t>.</w:t>
            </w:r>
          </w:p>
          <w:p w14:paraId="54D94E25" w14:textId="57D1413A" w:rsidR="00752A7F" w:rsidRPr="001D67D9" w:rsidRDefault="00752A7F" w:rsidP="00752A7F">
            <w:pPr>
              <w:pStyle w:val="BodyText"/>
              <w:jc w:val="both"/>
              <w:rPr>
                <w:rFonts w:ascii="Georgia" w:hAnsi="Georgia"/>
                <w:color w:val="auto"/>
                <w:sz w:val="20"/>
              </w:rPr>
            </w:pPr>
            <w:r>
              <w:rPr>
                <w:rFonts w:ascii="Georgia" w:hAnsi="Georgia"/>
                <w:color w:val="auto"/>
                <w:sz w:val="20"/>
              </w:rPr>
              <w:t xml:space="preserve">Prin introducerea sistemului de garanție-returnare, se apreciază că aproximativ 100.000 tone de ambalaj (estimat anual ca litter) nu vor mai ajunge în mediul înconjurător, ci vor fi returnate de către consumatorii finali, în vederea reciclării. </w:t>
            </w:r>
          </w:p>
        </w:tc>
      </w:tr>
      <w:tr w:rsidR="00752A7F" w:rsidRPr="001D67D9" w14:paraId="11398BD4" w14:textId="77777777" w:rsidTr="002D52F7">
        <w:trPr>
          <w:gridAfter w:val="1"/>
          <w:wAfter w:w="7" w:type="dxa"/>
        </w:trPr>
        <w:tc>
          <w:tcPr>
            <w:tcW w:w="2093" w:type="dxa"/>
          </w:tcPr>
          <w:p w14:paraId="6D2BF17A" w14:textId="0F86D1BF" w:rsidR="00752A7F" w:rsidRPr="001D67D9" w:rsidRDefault="00752A7F" w:rsidP="00752A7F">
            <w:pPr>
              <w:rPr>
                <w:rFonts w:ascii="Georgia" w:hAnsi="Georgia"/>
                <w:color w:val="auto"/>
                <w:sz w:val="20"/>
              </w:rPr>
            </w:pPr>
            <w:r w:rsidRPr="001D67D9">
              <w:rPr>
                <w:rFonts w:ascii="Georgia" w:hAnsi="Georgia"/>
                <w:color w:val="auto"/>
                <w:sz w:val="20"/>
              </w:rPr>
              <w:t>5. Alte informații</w:t>
            </w:r>
          </w:p>
        </w:tc>
        <w:tc>
          <w:tcPr>
            <w:tcW w:w="7890" w:type="dxa"/>
            <w:gridSpan w:val="3"/>
          </w:tcPr>
          <w:p w14:paraId="49DBD2FA" w14:textId="7943A49A" w:rsidR="00752A7F" w:rsidRPr="001D67D9" w:rsidRDefault="00752A7F" w:rsidP="00752A7F">
            <w:pPr>
              <w:pStyle w:val="BodyText"/>
              <w:jc w:val="both"/>
              <w:rPr>
                <w:rFonts w:ascii="Georgia" w:hAnsi="Georgia"/>
                <w:color w:val="auto"/>
                <w:sz w:val="20"/>
              </w:rPr>
            </w:pPr>
            <w:r w:rsidRPr="001D67D9">
              <w:rPr>
                <w:rFonts w:ascii="Georgia" w:hAnsi="Georgia"/>
                <w:color w:val="auto"/>
                <w:sz w:val="20"/>
              </w:rPr>
              <w:t>Nu au fost identificate.</w:t>
            </w:r>
          </w:p>
        </w:tc>
      </w:tr>
      <w:tr w:rsidR="00752A7F" w:rsidRPr="001D67D9" w14:paraId="4CC9E8F6" w14:textId="77777777" w:rsidTr="002D52F7">
        <w:trPr>
          <w:gridAfter w:val="1"/>
          <w:wAfter w:w="7" w:type="dxa"/>
          <w:trHeight w:val="401"/>
        </w:trPr>
        <w:tc>
          <w:tcPr>
            <w:tcW w:w="9983" w:type="dxa"/>
            <w:gridSpan w:val="4"/>
          </w:tcPr>
          <w:p w14:paraId="42637CBD" w14:textId="77777777" w:rsidR="00752A7F" w:rsidRPr="001D67D9" w:rsidRDefault="00752A7F" w:rsidP="00752A7F">
            <w:pPr>
              <w:rPr>
                <w:rFonts w:ascii="Georgia" w:hAnsi="Georgia"/>
                <w:b/>
                <w:color w:val="auto"/>
                <w:sz w:val="20"/>
              </w:rPr>
            </w:pPr>
          </w:p>
          <w:p w14:paraId="50422E4E" w14:textId="1F4F9029" w:rsidR="00752A7F" w:rsidRPr="001D67D9" w:rsidRDefault="00752A7F" w:rsidP="00752A7F">
            <w:pPr>
              <w:pStyle w:val="Heading1"/>
            </w:pPr>
            <w:r w:rsidRPr="001D67D9">
              <w:t>Secțiunea a 4-a: Efectele proiectului de act normativ asupra legislației în vigoare</w:t>
            </w:r>
          </w:p>
          <w:p w14:paraId="15F756CE" w14:textId="77777777" w:rsidR="00752A7F" w:rsidRPr="001D67D9" w:rsidRDefault="00752A7F" w:rsidP="00752A7F">
            <w:pPr>
              <w:jc w:val="center"/>
              <w:rPr>
                <w:rFonts w:ascii="Georgia" w:hAnsi="Georgia"/>
                <w:b/>
                <w:color w:val="auto"/>
                <w:sz w:val="20"/>
              </w:rPr>
            </w:pPr>
          </w:p>
        </w:tc>
      </w:tr>
      <w:tr w:rsidR="00010D6C" w:rsidRPr="001D67D9" w14:paraId="529CF347" w14:textId="77777777" w:rsidTr="002D52F7">
        <w:trPr>
          <w:gridAfter w:val="1"/>
          <w:wAfter w:w="7" w:type="dxa"/>
        </w:trPr>
        <w:tc>
          <w:tcPr>
            <w:tcW w:w="3901" w:type="dxa"/>
            <w:gridSpan w:val="3"/>
          </w:tcPr>
          <w:p w14:paraId="78FB142F" w14:textId="77777777" w:rsidR="00010D6C" w:rsidRPr="001D67D9" w:rsidRDefault="00010D6C" w:rsidP="00010D6C">
            <w:pPr>
              <w:rPr>
                <w:rFonts w:ascii="Georgia" w:hAnsi="Georgia"/>
                <w:color w:val="auto"/>
                <w:sz w:val="20"/>
              </w:rPr>
            </w:pPr>
            <w:r w:rsidRPr="001D67D9">
              <w:rPr>
                <w:rFonts w:ascii="Georgia" w:hAnsi="Georgia"/>
                <w:color w:val="auto"/>
                <w:sz w:val="20"/>
              </w:rPr>
              <w:t xml:space="preserve">1.Măsuri normative necesare pentru aplicarea prevederilor proiectului de act normativ: </w:t>
            </w:r>
          </w:p>
          <w:p w14:paraId="534241B7" w14:textId="7C1D34A7" w:rsidR="00010D6C" w:rsidRDefault="00010D6C" w:rsidP="00010D6C">
            <w:pPr>
              <w:rPr>
                <w:rFonts w:ascii="Georgia" w:hAnsi="Georgia"/>
                <w:color w:val="auto"/>
                <w:sz w:val="20"/>
              </w:rPr>
            </w:pPr>
            <w:r w:rsidRPr="001D67D9">
              <w:rPr>
                <w:rFonts w:ascii="Georgia" w:hAnsi="Georgia"/>
                <w:color w:val="auto"/>
                <w:sz w:val="20"/>
              </w:rPr>
              <w:t xml:space="preserve">a) acte normative în vigoare ce vor fi modificate sau abrogate, ca urmare a intrării în vigoare a proiectului de act normativ; </w:t>
            </w:r>
          </w:p>
          <w:p w14:paraId="0779DD3D" w14:textId="6929164B" w:rsidR="00010D6C" w:rsidRDefault="00010D6C" w:rsidP="00010D6C">
            <w:pPr>
              <w:rPr>
                <w:rFonts w:ascii="Georgia" w:hAnsi="Georgia"/>
                <w:color w:val="auto"/>
                <w:sz w:val="20"/>
              </w:rPr>
            </w:pPr>
          </w:p>
          <w:p w14:paraId="684930BB" w14:textId="5ADF6EF1" w:rsidR="00010D6C" w:rsidRDefault="00010D6C" w:rsidP="00010D6C">
            <w:pPr>
              <w:rPr>
                <w:rFonts w:ascii="Georgia" w:hAnsi="Georgia"/>
                <w:color w:val="auto"/>
                <w:sz w:val="20"/>
              </w:rPr>
            </w:pPr>
          </w:p>
          <w:p w14:paraId="48AFFACD" w14:textId="22356FDA" w:rsidR="00010D6C" w:rsidRDefault="00010D6C" w:rsidP="00010D6C">
            <w:pPr>
              <w:rPr>
                <w:rFonts w:ascii="Georgia" w:hAnsi="Georgia"/>
                <w:color w:val="auto"/>
                <w:sz w:val="20"/>
              </w:rPr>
            </w:pPr>
          </w:p>
          <w:p w14:paraId="7710CED1" w14:textId="5ADB12D9" w:rsidR="00010D6C" w:rsidRDefault="00010D6C" w:rsidP="00010D6C">
            <w:pPr>
              <w:rPr>
                <w:rFonts w:ascii="Georgia" w:hAnsi="Georgia"/>
                <w:color w:val="auto"/>
                <w:sz w:val="20"/>
              </w:rPr>
            </w:pPr>
          </w:p>
          <w:p w14:paraId="216EF077" w14:textId="380BD2B5" w:rsidR="00010D6C" w:rsidRDefault="00010D6C" w:rsidP="00010D6C">
            <w:pPr>
              <w:rPr>
                <w:rFonts w:ascii="Georgia" w:hAnsi="Georgia"/>
                <w:color w:val="auto"/>
                <w:sz w:val="20"/>
              </w:rPr>
            </w:pPr>
          </w:p>
          <w:p w14:paraId="389F3C8D" w14:textId="4FE2BC0C" w:rsidR="00010D6C" w:rsidRDefault="00010D6C" w:rsidP="00010D6C">
            <w:pPr>
              <w:rPr>
                <w:rFonts w:ascii="Georgia" w:hAnsi="Georgia"/>
                <w:color w:val="auto"/>
                <w:sz w:val="20"/>
              </w:rPr>
            </w:pPr>
          </w:p>
          <w:p w14:paraId="4854F57F" w14:textId="7E5ADA81" w:rsidR="00010D6C" w:rsidRDefault="00010D6C" w:rsidP="00010D6C">
            <w:pPr>
              <w:rPr>
                <w:rFonts w:ascii="Georgia" w:hAnsi="Georgia"/>
                <w:color w:val="auto"/>
                <w:sz w:val="20"/>
              </w:rPr>
            </w:pPr>
          </w:p>
          <w:p w14:paraId="7E7D911A" w14:textId="32349798" w:rsidR="00010D6C" w:rsidRDefault="00010D6C" w:rsidP="00010D6C">
            <w:pPr>
              <w:rPr>
                <w:rFonts w:ascii="Georgia" w:hAnsi="Georgia"/>
                <w:color w:val="auto"/>
                <w:sz w:val="20"/>
              </w:rPr>
            </w:pPr>
          </w:p>
          <w:p w14:paraId="26A87385" w14:textId="27646BDE" w:rsidR="00010D6C" w:rsidRDefault="00010D6C" w:rsidP="00010D6C">
            <w:pPr>
              <w:rPr>
                <w:rFonts w:ascii="Georgia" w:hAnsi="Georgia"/>
                <w:color w:val="auto"/>
                <w:sz w:val="20"/>
              </w:rPr>
            </w:pPr>
          </w:p>
          <w:p w14:paraId="528AE01D" w14:textId="34C4A8C7" w:rsidR="00010D6C" w:rsidRDefault="00010D6C" w:rsidP="00010D6C">
            <w:pPr>
              <w:rPr>
                <w:rFonts w:ascii="Georgia" w:hAnsi="Georgia"/>
                <w:color w:val="auto"/>
                <w:sz w:val="20"/>
              </w:rPr>
            </w:pPr>
          </w:p>
          <w:p w14:paraId="778BB7E0" w14:textId="461A078F" w:rsidR="00010D6C" w:rsidRDefault="00010D6C" w:rsidP="00010D6C">
            <w:pPr>
              <w:rPr>
                <w:rFonts w:ascii="Georgia" w:hAnsi="Georgia"/>
                <w:color w:val="auto"/>
                <w:sz w:val="20"/>
              </w:rPr>
            </w:pPr>
          </w:p>
          <w:p w14:paraId="6FA0C41A" w14:textId="058FFA68" w:rsidR="00010D6C" w:rsidRDefault="00010D6C" w:rsidP="00010D6C">
            <w:pPr>
              <w:rPr>
                <w:rFonts w:ascii="Georgia" w:hAnsi="Georgia"/>
                <w:color w:val="auto"/>
                <w:sz w:val="20"/>
              </w:rPr>
            </w:pPr>
          </w:p>
          <w:p w14:paraId="7F861D0D" w14:textId="5715818B" w:rsidR="00010D6C" w:rsidRDefault="00010D6C" w:rsidP="00010D6C">
            <w:pPr>
              <w:rPr>
                <w:rFonts w:ascii="Georgia" w:hAnsi="Georgia"/>
                <w:color w:val="auto"/>
                <w:sz w:val="20"/>
              </w:rPr>
            </w:pPr>
          </w:p>
          <w:p w14:paraId="6F179B38" w14:textId="77AA987E" w:rsidR="00010D6C" w:rsidRDefault="00010D6C" w:rsidP="00010D6C">
            <w:pPr>
              <w:rPr>
                <w:rFonts w:ascii="Georgia" w:hAnsi="Georgia"/>
                <w:color w:val="auto"/>
                <w:sz w:val="20"/>
              </w:rPr>
            </w:pPr>
          </w:p>
          <w:p w14:paraId="66A9225E" w14:textId="01984F16" w:rsidR="00010D6C" w:rsidRDefault="00010D6C" w:rsidP="00010D6C">
            <w:pPr>
              <w:rPr>
                <w:rFonts w:ascii="Georgia" w:hAnsi="Georgia"/>
                <w:color w:val="auto"/>
                <w:sz w:val="20"/>
              </w:rPr>
            </w:pPr>
          </w:p>
          <w:p w14:paraId="4B1EB7CA" w14:textId="747D8E15" w:rsidR="00010D6C" w:rsidRDefault="00010D6C" w:rsidP="00010D6C">
            <w:pPr>
              <w:rPr>
                <w:rFonts w:ascii="Georgia" w:hAnsi="Georgia"/>
                <w:color w:val="auto"/>
                <w:sz w:val="20"/>
              </w:rPr>
            </w:pPr>
          </w:p>
          <w:p w14:paraId="0FC0AECC" w14:textId="6DFE82A0" w:rsidR="00010D6C" w:rsidRDefault="00010D6C" w:rsidP="00010D6C">
            <w:pPr>
              <w:rPr>
                <w:rFonts w:ascii="Georgia" w:hAnsi="Georgia"/>
                <w:color w:val="auto"/>
                <w:sz w:val="20"/>
              </w:rPr>
            </w:pPr>
          </w:p>
          <w:p w14:paraId="57E62F02" w14:textId="34A6355F" w:rsidR="00010D6C" w:rsidRDefault="00010D6C" w:rsidP="00010D6C">
            <w:pPr>
              <w:rPr>
                <w:rFonts w:ascii="Georgia" w:hAnsi="Georgia"/>
                <w:color w:val="auto"/>
                <w:sz w:val="20"/>
              </w:rPr>
            </w:pPr>
          </w:p>
          <w:p w14:paraId="675A4896" w14:textId="0D9FA2D9" w:rsidR="00010D6C" w:rsidRDefault="00010D6C" w:rsidP="00010D6C">
            <w:pPr>
              <w:rPr>
                <w:rFonts w:ascii="Georgia" w:hAnsi="Georgia"/>
                <w:color w:val="auto"/>
                <w:sz w:val="20"/>
              </w:rPr>
            </w:pPr>
          </w:p>
          <w:p w14:paraId="40371814" w14:textId="77777777" w:rsidR="00010D6C" w:rsidRPr="001D67D9" w:rsidRDefault="00010D6C" w:rsidP="00010D6C">
            <w:pPr>
              <w:rPr>
                <w:rFonts w:ascii="Georgia" w:hAnsi="Georgia"/>
                <w:color w:val="auto"/>
                <w:sz w:val="20"/>
              </w:rPr>
            </w:pPr>
          </w:p>
          <w:p w14:paraId="2FDFE006" w14:textId="77777777" w:rsidR="00010D6C" w:rsidRPr="001D67D9" w:rsidRDefault="00010D6C" w:rsidP="00010D6C">
            <w:pPr>
              <w:autoSpaceDE w:val="0"/>
              <w:autoSpaceDN w:val="0"/>
              <w:adjustRightInd w:val="0"/>
              <w:jc w:val="both"/>
              <w:rPr>
                <w:rFonts w:ascii="Georgia" w:hAnsi="Georgia"/>
                <w:color w:val="auto"/>
                <w:sz w:val="20"/>
              </w:rPr>
            </w:pPr>
            <w:r w:rsidRPr="001D67D9">
              <w:rPr>
                <w:rFonts w:ascii="Georgia" w:hAnsi="Georgia"/>
                <w:color w:val="auto"/>
                <w:sz w:val="20"/>
              </w:rPr>
              <w:t>b) acte normative ce urmează a fi elaborate în vederea implementării noilor dispoziţii</w:t>
            </w:r>
          </w:p>
        </w:tc>
        <w:tc>
          <w:tcPr>
            <w:tcW w:w="6082" w:type="dxa"/>
          </w:tcPr>
          <w:p w14:paraId="37E0F034" w14:textId="77777777" w:rsidR="00010D6C" w:rsidRDefault="00010D6C" w:rsidP="00010D6C">
            <w:pPr>
              <w:pStyle w:val="BodyText"/>
              <w:jc w:val="both"/>
              <w:rPr>
                <w:rFonts w:ascii="Georgia" w:hAnsi="Georgia"/>
                <w:color w:val="auto"/>
                <w:sz w:val="20"/>
              </w:rPr>
            </w:pPr>
            <w:r w:rsidRPr="001D67D9">
              <w:rPr>
                <w:rFonts w:ascii="Georgia" w:hAnsi="Georgia"/>
                <w:color w:val="auto"/>
                <w:sz w:val="20"/>
              </w:rPr>
              <w:lastRenderedPageBreak/>
              <w:t>Având în vedere impact</w:t>
            </w:r>
            <w:r>
              <w:rPr>
                <w:rFonts w:ascii="Georgia" w:hAnsi="Georgia"/>
                <w:color w:val="auto"/>
                <w:sz w:val="20"/>
              </w:rPr>
              <w:t>ul</w:t>
            </w:r>
            <w:r w:rsidRPr="001D67D9">
              <w:rPr>
                <w:rFonts w:ascii="Georgia" w:hAnsi="Georgia"/>
                <w:color w:val="auto"/>
                <w:sz w:val="20"/>
              </w:rPr>
              <w:t xml:space="preserve"> social și economic al implementării sistemului de garanție-returnare, dar și complexitatea acestuia, este necesară</w:t>
            </w:r>
            <w:r>
              <w:rPr>
                <w:rFonts w:ascii="Georgia" w:hAnsi="Georgia"/>
                <w:color w:val="auto"/>
                <w:sz w:val="20"/>
              </w:rPr>
              <w:t>:</w:t>
            </w:r>
          </w:p>
          <w:p w14:paraId="4B6BC5E5" w14:textId="77777777" w:rsidR="00010D6C" w:rsidRDefault="00010D6C" w:rsidP="00010D6C">
            <w:pPr>
              <w:pStyle w:val="BodyText"/>
              <w:jc w:val="both"/>
              <w:rPr>
                <w:rFonts w:ascii="Georgia" w:hAnsi="Georgia"/>
                <w:color w:val="auto"/>
                <w:sz w:val="20"/>
              </w:rPr>
            </w:pPr>
            <w:r>
              <w:rPr>
                <w:rFonts w:ascii="Georgia" w:hAnsi="Georgia"/>
                <w:color w:val="auto"/>
                <w:sz w:val="20"/>
              </w:rPr>
              <w:t xml:space="preserve">Modificarea unor, acte normative </w:t>
            </w:r>
            <w:r w:rsidRPr="001D67D9">
              <w:rPr>
                <w:rFonts w:ascii="Georgia" w:hAnsi="Georgia"/>
                <w:color w:val="auto"/>
                <w:sz w:val="20"/>
              </w:rPr>
              <w:t xml:space="preserve">în vigoare, </w:t>
            </w:r>
            <w:r>
              <w:rPr>
                <w:rFonts w:ascii="Georgia" w:hAnsi="Georgia"/>
                <w:color w:val="auto"/>
                <w:sz w:val="20"/>
              </w:rPr>
              <w:t>pentru implementarea</w:t>
            </w:r>
            <w:r w:rsidRPr="001D67D9">
              <w:rPr>
                <w:rFonts w:ascii="Georgia" w:hAnsi="Georgia"/>
                <w:color w:val="auto"/>
                <w:sz w:val="20"/>
              </w:rPr>
              <w:t xml:space="preserve"> proiectului de act normativ</w:t>
            </w:r>
            <w:r>
              <w:rPr>
                <w:rFonts w:ascii="Georgia" w:hAnsi="Georgia"/>
                <w:color w:val="auto"/>
                <w:sz w:val="20"/>
              </w:rPr>
              <w:t>:</w:t>
            </w:r>
          </w:p>
          <w:p w14:paraId="0093B537" w14:textId="77777777" w:rsidR="00010D6C" w:rsidRDefault="00010D6C" w:rsidP="00010D6C">
            <w:pPr>
              <w:pStyle w:val="BodyText"/>
              <w:numPr>
                <w:ilvl w:val="0"/>
                <w:numId w:val="26"/>
              </w:numPr>
              <w:jc w:val="both"/>
              <w:rPr>
                <w:rFonts w:ascii="Georgia" w:hAnsi="Georgia"/>
                <w:color w:val="auto"/>
                <w:sz w:val="20"/>
              </w:rPr>
            </w:pPr>
            <w:r>
              <w:rPr>
                <w:rFonts w:ascii="Georgia" w:hAnsi="Georgia"/>
                <w:color w:val="auto"/>
                <w:sz w:val="20"/>
              </w:rPr>
              <w:t>Legea 249/2015 privind modalitatea de gestionare a ambalajelor și a deșeurilor de ambalaje, cu modificările și completările ulterioare;</w:t>
            </w:r>
          </w:p>
          <w:p w14:paraId="3D9BBC59" w14:textId="77777777" w:rsidR="00010D6C" w:rsidRPr="00C121AC" w:rsidRDefault="00010D6C" w:rsidP="00010D6C">
            <w:pPr>
              <w:pStyle w:val="BodyText"/>
              <w:numPr>
                <w:ilvl w:val="0"/>
                <w:numId w:val="26"/>
              </w:numPr>
              <w:jc w:val="both"/>
              <w:rPr>
                <w:rFonts w:ascii="Georgia" w:hAnsi="Georgia"/>
                <w:color w:val="auto"/>
                <w:sz w:val="20"/>
              </w:rPr>
            </w:pPr>
            <w:r>
              <w:rPr>
                <w:rFonts w:ascii="Georgia" w:hAnsi="Georgia"/>
                <w:color w:val="auto"/>
                <w:sz w:val="20"/>
              </w:rPr>
              <w:t>Ordonanța de urgență a Guvernului nr. 196/2005 privind Fondul pentru mediu cu modificările și completările ulterioare;</w:t>
            </w:r>
          </w:p>
          <w:p w14:paraId="1A95731C" w14:textId="77777777" w:rsidR="00010D6C" w:rsidRDefault="00010D6C" w:rsidP="00010D6C">
            <w:pPr>
              <w:pStyle w:val="BodyText"/>
              <w:numPr>
                <w:ilvl w:val="0"/>
                <w:numId w:val="26"/>
              </w:numPr>
              <w:jc w:val="both"/>
              <w:rPr>
                <w:rFonts w:ascii="Georgia" w:hAnsi="Georgia"/>
                <w:color w:val="auto"/>
                <w:sz w:val="20"/>
              </w:rPr>
            </w:pPr>
            <w:r w:rsidRPr="00C121AC">
              <w:rPr>
                <w:rFonts w:ascii="Georgia" w:hAnsi="Georgia"/>
                <w:color w:val="auto"/>
                <w:sz w:val="20"/>
              </w:rPr>
              <w:t>Legea nr. 227/2015 privind Codul fiscal</w:t>
            </w:r>
            <w:r>
              <w:t xml:space="preserve"> </w:t>
            </w:r>
            <w:r w:rsidRPr="00C121AC">
              <w:rPr>
                <w:rFonts w:ascii="Georgia" w:hAnsi="Georgia"/>
                <w:color w:val="auto"/>
                <w:sz w:val="20"/>
              </w:rPr>
              <w:t>cu modificările și completările ulterioare;</w:t>
            </w:r>
          </w:p>
          <w:p w14:paraId="726DB0C4" w14:textId="77777777" w:rsidR="00010D6C" w:rsidRDefault="00010D6C" w:rsidP="00010D6C">
            <w:pPr>
              <w:pStyle w:val="BodyText"/>
              <w:numPr>
                <w:ilvl w:val="0"/>
                <w:numId w:val="26"/>
              </w:numPr>
              <w:jc w:val="both"/>
              <w:rPr>
                <w:rFonts w:ascii="Georgia" w:hAnsi="Georgia"/>
                <w:color w:val="auto"/>
                <w:sz w:val="20"/>
              </w:rPr>
            </w:pPr>
            <w:r>
              <w:rPr>
                <w:rFonts w:ascii="Georgia" w:hAnsi="Georgia"/>
                <w:color w:val="auto"/>
                <w:sz w:val="20"/>
              </w:rPr>
              <w:lastRenderedPageBreak/>
              <w:t xml:space="preserve">Ordinul nr. 1362/2018 </w:t>
            </w:r>
            <w:r w:rsidRPr="00C121AC">
              <w:rPr>
                <w:rFonts w:ascii="Georgia" w:hAnsi="Georgia"/>
                <w:color w:val="auto"/>
                <w:sz w:val="20"/>
              </w:rPr>
              <w:t>privind aprobarea Procedurii de autorizare, avizare anuală și de retragere a dreptului de operare a organizațiilor care implementează obligațiile privind răspunderea extinsă a producătorului</w:t>
            </w:r>
            <w:r>
              <w:rPr>
                <w:rFonts w:ascii="Georgia" w:hAnsi="Georgia"/>
                <w:color w:val="auto"/>
                <w:sz w:val="20"/>
              </w:rPr>
              <w:t>;</w:t>
            </w:r>
          </w:p>
          <w:p w14:paraId="752346DC" w14:textId="77777777" w:rsidR="00010D6C" w:rsidRDefault="00010D6C" w:rsidP="00010D6C">
            <w:pPr>
              <w:pStyle w:val="BodyText"/>
              <w:numPr>
                <w:ilvl w:val="0"/>
                <w:numId w:val="26"/>
              </w:numPr>
              <w:jc w:val="both"/>
              <w:rPr>
                <w:rFonts w:ascii="Georgia" w:hAnsi="Georgia"/>
                <w:color w:val="auto"/>
                <w:sz w:val="20"/>
              </w:rPr>
            </w:pPr>
            <w:r w:rsidRPr="00C121AC">
              <w:rPr>
                <w:rFonts w:ascii="Georgia" w:hAnsi="Georgia"/>
                <w:color w:val="auto"/>
                <w:sz w:val="20"/>
              </w:rPr>
              <w:t>Ordinul nr. 794/2012 privind procedura de raportare a datelor referitoare la ambalaje și deșeuri de ambalaje</w:t>
            </w:r>
            <w:r>
              <w:rPr>
                <w:rFonts w:ascii="Georgia" w:hAnsi="Georgia"/>
                <w:color w:val="auto"/>
                <w:sz w:val="20"/>
              </w:rPr>
              <w:t>;</w:t>
            </w:r>
          </w:p>
          <w:p w14:paraId="65626945" w14:textId="77777777" w:rsidR="00010D6C" w:rsidRPr="00C121AC" w:rsidRDefault="00010D6C" w:rsidP="00010D6C">
            <w:pPr>
              <w:pStyle w:val="BodyText"/>
              <w:numPr>
                <w:ilvl w:val="0"/>
                <w:numId w:val="26"/>
              </w:numPr>
              <w:jc w:val="both"/>
              <w:rPr>
                <w:rFonts w:ascii="Georgia" w:hAnsi="Georgia"/>
                <w:color w:val="auto"/>
                <w:sz w:val="20"/>
              </w:rPr>
            </w:pPr>
            <w:r w:rsidRPr="00C121AC">
              <w:rPr>
                <w:rFonts w:ascii="Georgia" w:hAnsi="Georgia"/>
                <w:color w:val="auto"/>
                <w:sz w:val="20"/>
              </w:rPr>
              <w:t xml:space="preserve"> Ordinul nr.  578/2006 din 6 iunie 2006</w:t>
            </w:r>
            <w:r>
              <w:rPr>
                <w:rFonts w:ascii="Georgia" w:hAnsi="Georgia"/>
                <w:color w:val="auto"/>
                <w:sz w:val="20"/>
              </w:rPr>
              <w:t xml:space="preserve"> </w:t>
            </w:r>
            <w:r w:rsidRPr="00C121AC">
              <w:rPr>
                <w:rFonts w:ascii="Georgia" w:hAnsi="Georgia"/>
                <w:color w:val="auto"/>
                <w:sz w:val="20"/>
              </w:rPr>
              <w:t>pentru aprobarea Metodologiei de calcul al contribuţiilor şi taxelor datorate la Fondul pentru mediu</w:t>
            </w:r>
            <w:r>
              <w:rPr>
                <w:rFonts w:ascii="Georgia" w:hAnsi="Georgia"/>
                <w:color w:val="auto"/>
                <w:sz w:val="20"/>
              </w:rPr>
              <w:t>.</w:t>
            </w:r>
          </w:p>
          <w:p w14:paraId="0B6D65F2" w14:textId="77777777" w:rsidR="00010D6C" w:rsidRDefault="00010D6C" w:rsidP="00010D6C">
            <w:pPr>
              <w:pStyle w:val="BodyText"/>
              <w:jc w:val="both"/>
              <w:rPr>
                <w:rFonts w:ascii="Georgia" w:hAnsi="Georgia"/>
                <w:color w:val="auto"/>
                <w:sz w:val="20"/>
              </w:rPr>
            </w:pPr>
          </w:p>
          <w:p w14:paraId="7EEC9B46" w14:textId="77777777" w:rsidR="00010D6C" w:rsidRDefault="00010D6C" w:rsidP="00010D6C">
            <w:pPr>
              <w:pStyle w:val="BodyText"/>
              <w:jc w:val="both"/>
              <w:rPr>
                <w:rFonts w:ascii="Georgia" w:hAnsi="Georgia"/>
                <w:color w:val="auto"/>
                <w:sz w:val="20"/>
              </w:rPr>
            </w:pPr>
            <w:r>
              <w:rPr>
                <w:rFonts w:ascii="Georgia" w:hAnsi="Georgia"/>
                <w:color w:val="auto"/>
                <w:sz w:val="20"/>
              </w:rPr>
              <w:t>Elaborarea unor acte</w:t>
            </w:r>
            <w:r w:rsidRPr="001D67D9">
              <w:rPr>
                <w:rFonts w:ascii="Georgia" w:hAnsi="Georgia"/>
                <w:color w:val="auto"/>
                <w:sz w:val="20"/>
              </w:rPr>
              <w:t xml:space="preserve"> normative în vederea implementării noilor dispoziţii</w:t>
            </w:r>
            <w:r>
              <w:rPr>
                <w:rFonts w:ascii="Georgia" w:hAnsi="Georgia"/>
                <w:color w:val="auto"/>
                <w:sz w:val="20"/>
              </w:rPr>
              <w:t>:</w:t>
            </w:r>
          </w:p>
          <w:p w14:paraId="560DCCA2" w14:textId="77777777" w:rsidR="00010D6C" w:rsidRPr="001D67D9" w:rsidRDefault="00010D6C" w:rsidP="00010D6C">
            <w:pPr>
              <w:pStyle w:val="BodyText"/>
              <w:numPr>
                <w:ilvl w:val="0"/>
                <w:numId w:val="23"/>
              </w:numPr>
              <w:jc w:val="both"/>
              <w:rPr>
                <w:rFonts w:ascii="Georgia" w:hAnsi="Georgia"/>
                <w:color w:val="auto"/>
                <w:sz w:val="20"/>
              </w:rPr>
            </w:pPr>
            <w:r w:rsidRPr="006E67C8">
              <w:rPr>
                <w:rFonts w:ascii="Georgia" w:hAnsi="Georgia"/>
                <w:color w:val="auto"/>
                <w:sz w:val="20"/>
              </w:rPr>
              <w:t>Ordin al Ministrului Mediului, Apelor și Pădurilor</w:t>
            </w:r>
            <w:r>
              <w:rPr>
                <w:rFonts w:ascii="Georgia" w:hAnsi="Georgia"/>
                <w:color w:val="auto"/>
                <w:sz w:val="20"/>
              </w:rPr>
              <w:t xml:space="preserve"> pentru aprobarea </w:t>
            </w:r>
            <w:r w:rsidRPr="00204B25">
              <w:rPr>
                <w:rFonts w:ascii="Georgia" w:hAnsi="Georgia"/>
                <w:color w:val="auto"/>
                <w:sz w:val="20"/>
              </w:rPr>
              <w:t>Procedur</w:t>
            </w:r>
            <w:r>
              <w:rPr>
                <w:rFonts w:ascii="Georgia" w:hAnsi="Georgia"/>
                <w:color w:val="auto"/>
                <w:sz w:val="20"/>
              </w:rPr>
              <w:t>ii</w:t>
            </w:r>
            <w:r w:rsidRPr="00204B25">
              <w:rPr>
                <w:rFonts w:ascii="Georgia" w:hAnsi="Georgia"/>
                <w:color w:val="auto"/>
                <w:sz w:val="20"/>
              </w:rPr>
              <w:t xml:space="preserve"> de selecție și acordare a licenței de funcționare a administratorului SGR, de reînnoire și revocare a licenței de funcționare, precum și procedur</w:t>
            </w:r>
            <w:r>
              <w:rPr>
                <w:rFonts w:ascii="Georgia" w:hAnsi="Georgia"/>
                <w:color w:val="auto"/>
                <w:sz w:val="20"/>
              </w:rPr>
              <w:t>ii</w:t>
            </w:r>
            <w:r w:rsidRPr="00204B25">
              <w:rPr>
                <w:rFonts w:ascii="Georgia" w:hAnsi="Georgia"/>
                <w:color w:val="auto"/>
                <w:sz w:val="20"/>
              </w:rPr>
              <w:t xml:space="preserve"> de control al modului de îndeplinire a rolului de administrator SGR</w:t>
            </w:r>
            <w:r w:rsidRPr="001D67D9">
              <w:rPr>
                <w:rFonts w:ascii="Georgia" w:hAnsi="Georgia"/>
                <w:color w:val="auto"/>
                <w:sz w:val="20"/>
                <w:lang w:bidi="ar-SA"/>
              </w:rPr>
              <w:t>;</w:t>
            </w:r>
          </w:p>
          <w:p w14:paraId="6A703499" w14:textId="77777777" w:rsidR="00010D6C" w:rsidRDefault="00010D6C" w:rsidP="00010D6C">
            <w:pPr>
              <w:pStyle w:val="BodyText"/>
              <w:numPr>
                <w:ilvl w:val="0"/>
                <w:numId w:val="23"/>
              </w:numPr>
              <w:jc w:val="both"/>
              <w:rPr>
                <w:rFonts w:ascii="Georgia" w:hAnsi="Georgia"/>
                <w:color w:val="auto"/>
                <w:sz w:val="20"/>
              </w:rPr>
            </w:pPr>
            <w:r w:rsidRPr="00204B25">
              <w:rPr>
                <w:rFonts w:ascii="Georgia" w:hAnsi="Georgia"/>
                <w:color w:val="auto"/>
                <w:sz w:val="20"/>
                <w:lang w:bidi="ar-SA"/>
              </w:rPr>
              <w:t xml:space="preserve">Ordin al Ministrului Mediului, Apelor și Pădurilor </w:t>
            </w:r>
            <w:r>
              <w:rPr>
                <w:rFonts w:ascii="Georgia" w:hAnsi="Georgia"/>
                <w:color w:val="auto"/>
                <w:sz w:val="20"/>
                <w:lang w:bidi="ar-SA"/>
              </w:rPr>
              <w:t xml:space="preserve">privind </w:t>
            </w:r>
            <w:r w:rsidRPr="001D67D9">
              <w:rPr>
                <w:rFonts w:ascii="Georgia" w:hAnsi="Georgia"/>
                <w:color w:val="auto"/>
                <w:sz w:val="20"/>
                <w:lang w:bidi="ar-SA"/>
              </w:rPr>
              <w:t>frecvența și metodologia raportărilor către Ministerului Mediului, Apelor și Pădurilor gradul și modalitatea de aducere la îndeplinire a obligațiilor</w:t>
            </w:r>
          </w:p>
          <w:p w14:paraId="77855F10" w14:textId="6D9EB1F0" w:rsidR="00010D6C" w:rsidRPr="00437497" w:rsidRDefault="00010D6C" w:rsidP="00010D6C">
            <w:pPr>
              <w:pStyle w:val="BodyText"/>
              <w:numPr>
                <w:ilvl w:val="0"/>
                <w:numId w:val="23"/>
              </w:numPr>
              <w:jc w:val="both"/>
              <w:rPr>
                <w:rFonts w:ascii="Georgia" w:hAnsi="Georgia"/>
                <w:color w:val="auto"/>
                <w:sz w:val="20"/>
              </w:rPr>
            </w:pPr>
            <w:r w:rsidRPr="006E67C8">
              <w:rPr>
                <w:rFonts w:ascii="Georgia" w:hAnsi="Georgia"/>
                <w:color w:val="auto"/>
                <w:sz w:val="20"/>
              </w:rPr>
              <w:t>Ordin al Ministrului Mediului, Apelor și Pădurilor</w:t>
            </w:r>
            <w:r>
              <w:rPr>
                <w:rFonts w:ascii="Georgia" w:hAnsi="Georgia"/>
                <w:color w:val="auto"/>
                <w:sz w:val="20"/>
              </w:rPr>
              <w:t xml:space="preserve"> pentru aprobarea </w:t>
            </w:r>
            <w:r w:rsidRPr="00204B25">
              <w:rPr>
                <w:rFonts w:ascii="Georgia" w:hAnsi="Georgia"/>
                <w:color w:val="auto"/>
                <w:sz w:val="20"/>
              </w:rPr>
              <w:t>Procedu</w:t>
            </w:r>
            <w:r>
              <w:rPr>
                <w:rFonts w:ascii="Georgia" w:hAnsi="Georgia"/>
                <w:color w:val="auto"/>
                <w:sz w:val="20"/>
              </w:rPr>
              <w:t>rii</w:t>
            </w:r>
            <w:r w:rsidRPr="00204B25">
              <w:rPr>
                <w:rFonts w:ascii="Georgia" w:hAnsi="Georgia"/>
                <w:color w:val="auto"/>
                <w:sz w:val="20"/>
              </w:rPr>
              <w:t xml:space="preserve"> de control și atribuțiile Comisiei de supraveghere a răspunderii extinse a producătorilor în cadrul sistemului de garanție-returnare vor fi stabilite de către autoritatea publică centrală pentru protecția mediului</w:t>
            </w:r>
            <w:r w:rsidRPr="001D67D9">
              <w:rPr>
                <w:rFonts w:ascii="Georgia" w:hAnsi="Georgia"/>
                <w:color w:val="auto"/>
                <w:sz w:val="20"/>
                <w:lang w:bidi="ar-SA"/>
              </w:rPr>
              <w:t>;</w:t>
            </w:r>
          </w:p>
        </w:tc>
      </w:tr>
      <w:tr w:rsidR="00752A7F" w:rsidRPr="001D67D9" w14:paraId="37334BC3" w14:textId="77777777" w:rsidTr="002D52F7">
        <w:trPr>
          <w:gridAfter w:val="1"/>
          <w:wAfter w:w="7" w:type="dxa"/>
        </w:trPr>
        <w:tc>
          <w:tcPr>
            <w:tcW w:w="3901" w:type="dxa"/>
            <w:gridSpan w:val="3"/>
          </w:tcPr>
          <w:p w14:paraId="6A2DDE68" w14:textId="77777777" w:rsidR="00752A7F" w:rsidRPr="001D67D9" w:rsidRDefault="00752A7F" w:rsidP="00752A7F">
            <w:pPr>
              <w:autoSpaceDE w:val="0"/>
              <w:autoSpaceDN w:val="0"/>
              <w:adjustRightInd w:val="0"/>
              <w:jc w:val="both"/>
              <w:rPr>
                <w:rFonts w:ascii="Georgia" w:hAnsi="Georgia"/>
                <w:color w:val="auto"/>
                <w:sz w:val="20"/>
                <w:lang w:bidi="ar-SA"/>
              </w:rPr>
            </w:pPr>
            <w:r w:rsidRPr="001D67D9">
              <w:rPr>
                <w:rFonts w:ascii="Georgia" w:hAnsi="Georgia"/>
                <w:color w:val="auto"/>
                <w:sz w:val="20"/>
              </w:rPr>
              <w:lastRenderedPageBreak/>
              <w:t>1</w:t>
            </w:r>
            <w:r w:rsidRPr="001D67D9">
              <w:rPr>
                <w:rFonts w:ascii="Georgia" w:hAnsi="Georgia"/>
                <w:color w:val="auto"/>
                <w:sz w:val="20"/>
                <w:vertAlign w:val="superscript"/>
              </w:rPr>
              <w:t xml:space="preserve">1 </w:t>
            </w:r>
            <w:r w:rsidRPr="001D67D9">
              <w:rPr>
                <w:rFonts w:ascii="Georgia" w:hAnsi="Georgia"/>
                <w:color w:val="auto"/>
                <w:sz w:val="20"/>
                <w:lang w:bidi="ar-SA"/>
              </w:rPr>
              <w:t>Compatibilitatea proiectului de act normativ cu legislația în domeniul achizițiilor publice:</w:t>
            </w:r>
          </w:p>
          <w:p w14:paraId="7CBA2008" w14:textId="77777777" w:rsidR="00752A7F" w:rsidRPr="001D67D9" w:rsidRDefault="00752A7F" w:rsidP="00752A7F">
            <w:pPr>
              <w:autoSpaceDE w:val="0"/>
              <w:autoSpaceDN w:val="0"/>
              <w:adjustRightInd w:val="0"/>
              <w:jc w:val="both"/>
              <w:rPr>
                <w:rFonts w:ascii="Georgia" w:hAnsi="Georgia"/>
                <w:color w:val="auto"/>
                <w:sz w:val="20"/>
                <w:lang w:bidi="ar-SA"/>
              </w:rPr>
            </w:pPr>
            <w:r w:rsidRPr="001D67D9">
              <w:rPr>
                <w:rFonts w:ascii="Georgia" w:hAnsi="Georgia"/>
                <w:color w:val="auto"/>
                <w:sz w:val="20"/>
                <w:lang w:bidi="ar-SA"/>
              </w:rPr>
              <w:t>a) impact legislativ - prevederi de modificare și completare a cadrului normativ în domeniul achizițiilor publice, prevederi derogatorii;</w:t>
            </w:r>
          </w:p>
          <w:p w14:paraId="0B6BD476" w14:textId="77777777" w:rsidR="00752A7F" w:rsidRPr="001D67D9" w:rsidRDefault="00752A7F" w:rsidP="00752A7F">
            <w:pPr>
              <w:jc w:val="both"/>
              <w:rPr>
                <w:rFonts w:ascii="Georgia" w:hAnsi="Georgia"/>
                <w:color w:val="auto"/>
                <w:sz w:val="20"/>
              </w:rPr>
            </w:pPr>
            <w:r w:rsidRPr="001D67D9">
              <w:rPr>
                <w:rFonts w:ascii="Georgia" w:hAnsi="Georgia"/>
                <w:color w:val="auto"/>
                <w:sz w:val="20"/>
                <w:lang w:bidi="ar-SA"/>
              </w:rPr>
              <w:t xml:space="preserve">    b) norme cu impact la nivel operațional/tehnic - sisteme electronice utilizate în desfășurarea procedurilor de achiziție publică, unități centralizate de achiziții publice, structură organizatorică internă a autorităților contractante.</w:t>
            </w:r>
          </w:p>
        </w:tc>
        <w:tc>
          <w:tcPr>
            <w:tcW w:w="6082" w:type="dxa"/>
          </w:tcPr>
          <w:p w14:paraId="42C26897" w14:textId="77777777" w:rsidR="00752A7F" w:rsidRPr="001D67D9" w:rsidRDefault="00752A7F" w:rsidP="00752A7F">
            <w:pPr>
              <w:pStyle w:val="BodyText"/>
              <w:jc w:val="both"/>
              <w:rPr>
                <w:rFonts w:ascii="Georgia" w:hAnsi="Georgia"/>
                <w:color w:val="auto"/>
                <w:sz w:val="20"/>
              </w:rPr>
            </w:pPr>
            <w:r w:rsidRPr="00752A7F">
              <w:rPr>
                <w:rFonts w:ascii="Georgia" w:hAnsi="Georgia"/>
                <w:i/>
                <w:iCs/>
                <w:color w:val="auto"/>
                <w:sz w:val="20"/>
              </w:rPr>
              <w:t>Proiectul de act normativ nu se referă la acest subiect</w:t>
            </w:r>
            <w:r w:rsidRPr="001D67D9">
              <w:rPr>
                <w:rFonts w:ascii="Georgia" w:hAnsi="Georgia"/>
                <w:color w:val="auto"/>
                <w:sz w:val="20"/>
              </w:rPr>
              <w:t>.</w:t>
            </w:r>
          </w:p>
        </w:tc>
      </w:tr>
      <w:tr w:rsidR="00752A7F" w:rsidRPr="001D67D9" w14:paraId="5610819C" w14:textId="77777777" w:rsidTr="002D52F7">
        <w:trPr>
          <w:gridAfter w:val="1"/>
          <w:wAfter w:w="7" w:type="dxa"/>
        </w:trPr>
        <w:tc>
          <w:tcPr>
            <w:tcW w:w="3901" w:type="dxa"/>
            <w:gridSpan w:val="3"/>
          </w:tcPr>
          <w:p w14:paraId="45EE48B0"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2. Compatibilitatea proiectului de act normativ cu legislaţia comunitară în materie</w:t>
            </w:r>
          </w:p>
        </w:tc>
        <w:tc>
          <w:tcPr>
            <w:tcW w:w="6082" w:type="dxa"/>
          </w:tcPr>
          <w:p w14:paraId="61676166" w14:textId="77777777"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614DFE51" w14:textId="77777777" w:rsidTr="002D52F7">
        <w:trPr>
          <w:gridAfter w:val="1"/>
          <w:wAfter w:w="7" w:type="dxa"/>
        </w:trPr>
        <w:tc>
          <w:tcPr>
            <w:tcW w:w="3901" w:type="dxa"/>
            <w:gridSpan w:val="3"/>
          </w:tcPr>
          <w:p w14:paraId="52492BAA"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3. Măsuri normative necesare aplicării directe a actelor normative comunitare</w:t>
            </w:r>
          </w:p>
        </w:tc>
        <w:tc>
          <w:tcPr>
            <w:tcW w:w="6082" w:type="dxa"/>
          </w:tcPr>
          <w:p w14:paraId="5C1D0B79" w14:textId="77777777"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09C93B1E" w14:textId="77777777" w:rsidTr="002D52F7">
        <w:trPr>
          <w:gridAfter w:val="1"/>
          <w:wAfter w:w="7" w:type="dxa"/>
        </w:trPr>
        <w:tc>
          <w:tcPr>
            <w:tcW w:w="3901" w:type="dxa"/>
            <w:gridSpan w:val="3"/>
          </w:tcPr>
          <w:p w14:paraId="08224FB5"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4. Hotărâri ale Curţii Europene de Justiţie a Uniunii Europene</w:t>
            </w:r>
          </w:p>
        </w:tc>
        <w:tc>
          <w:tcPr>
            <w:tcW w:w="6082" w:type="dxa"/>
          </w:tcPr>
          <w:p w14:paraId="275883E9" w14:textId="77777777" w:rsidR="00752A7F" w:rsidRPr="00752A7F" w:rsidRDefault="00752A7F" w:rsidP="00752A7F">
            <w:pPr>
              <w:pStyle w:val="BodyText"/>
              <w:jc w:val="both"/>
              <w:rPr>
                <w:rFonts w:ascii="Georgia" w:hAnsi="Georgia"/>
                <w:i/>
                <w:iCs/>
                <w:color w:val="auto"/>
                <w:sz w:val="20"/>
              </w:rPr>
            </w:pPr>
            <w:r w:rsidRPr="00752A7F">
              <w:rPr>
                <w:rFonts w:ascii="Georgia" w:hAnsi="Georgia"/>
                <w:i/>
                <w:iCs/>
                <w:color w:val="auto"/>
                <w:sz w:val="20"/>
              </w:rPr>
              <w:t>Proiectul de act normativ nu se referă la acest subiect.</w:t>
            </w:r>
          </w:p>
        </w:tc>
      </w:tr>
      <w:tr w:rsidR="00752A7F" w:rsidRPr="001D67D9" w14:paraId="7D018D6C" w14:textId="77777777" w:rsidTr="002D52F7">
        <w:trPr>
          <w:gridAfter w:val="1"/>
          <w:wAfter w:w="7" w:type="dxa"/>
        </w:trPr>
        <w:tc>
          <w:tcPr>
            <w:tcW w:w="3901" w:type="dxa"/>
            <w:gridSpan w:val="3"/>
          </w:tcPr>
          <w:p w14:paraId="07EDAD97"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5. Alte acte normative şi/sau documente internaţionale din care decurg angajamente</w:t>
            </w:r>
          </w:p>
        </w:tc>
        <w:tc>
          <w:tcPr>
            <w:tcW w:w="6082" w:type="dxa"/>
          </w:tcPr>
          <w:p w14:paraId="44293C77" w14:textId="77777777" w:rsidR="00752A7F" w:rsidRPr="00752A7F" w:rsidRDefault="00752A7F" w:rsidP="00752A7F">
            <w:pPr>
              <w:jc w:val="both"/>
              <w:rPr>
                <w:rFonts w:ascii="Georgia" w:hAnsi="Georgia"/>
                <w:i/>
                <w:iCs/>
                <w:color w:val="auto"/>
                <w:sz w:val="20"/>
              </w:rPr>
            </w:pPr>
            <w:r w:rsidRPr="00752A7F">
              <w:rPr>
                <w:rFonts w:ascii="Georgia" w:hAnsi="Georgia"/>
                <w:i/>
                <w:iCs/>
                <w:color w:val="auto"/>
                <w:sz w:val="20"/>
              </w:rPr>
              <w:t xml:space="preserve">Proiectul de act normativ nu se referă la acest subiect. </w:t>
            </w:r>
          </w:p>
        </w:tc>
      </w:tr>
      <w:tr w:rsidR="00752A7F" w:rsidRPr="001D67D9" w14:paraId="5F3C5480" w14:textId="77777777" w:rsidTr="002D52F7">
        <w:trPr>
          <w:gridAfter w:val="1"/>
          <w:wAfter w:w="7" w:type="dxa"/>
        </w:trPr>
        <w:tc>
          <w:tcPr>
            <w:tcW w:w="3901" w:type="dxa"/>
            <w:gridSpan w:val="3"/>
          </w:tcPr>
          <w:p w14:paraId="3F9B7387"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6. Alte informaţii</w:t>
            </w:r>
          </w:p>
        </w:tc>
        <w:tc>
          <w:tcPr>
            <w:tcW w:w="6082" w:type="dxa"/>
          </w:tcPr>
          <w:p w14:paraId="49ABCF4B" w14:textId="77777777" w:rsidR="00752A7F" w:rsidRPr="001D67D9" w:rsidRDefault="00752A7F" w:rsidP="00752A7F">
            <w:pPr>
              <w:jc w:val="both"/>
              <w:rPr>
                <w:rFonts w:ascii="Georgia" w:hAnsi="Georgia"/>
                <w:color w:val="auto"/>
                <w:sz w:val="20"/>
              </w:rPr>
            </w:pPr>
            <w:r w:rsidRPr="001D67D9">
              <w:rPr>
                <w:rFonts w:ascii="Georgia" w:hAnsi="Georgia"/>
                <w:color w:val="auto"/>
                <w:sz w:val="20"/>
              </w:rPr>
              <w:t>Nu au fost identificate.</w:t>
            </w:r>
          </w:p>
        </w:tc>
      </w:tr>
      <w:tr w:rsidR="00752A7F" w:rsidRPr="001D67D9" w14:paraId="197094F4" w14:textId="77777777" w:rsidTr="002D52F7">
        <w:trPr>
          <w:gridAfter w:val="1"/>
          <w:wAfter w:w="7" w:type="dxa"/>
        </w:trPr>
        <w:tc>
          <w:tcPr>
            <w:tcW w:w="9983" w:type="dxa"/>
            <w:gridSpan w:val="4"/>
          </w:tcPr>
          <w:p w14:paraId="13124838" w14:textId="77777777" w:rsidR="00752A7F" w:rsidRPr="00E31171" w:rsidRDefault="00752A7F" w:rsidP="00752A7F">
            <w:pPr>
              <w:autoSpaceDE w:val="0"/>
              <w:autoSpaceDN w:val="0"/>
              <w:adjustRightInd w:val="0"/>
              <w:rPr>
                <w:rFonts w:ascii="Georgia" w:hAnsi="Georgia"/>
                <w:b/>
                <w:color w:val="auto"/>
                <w:sz w:val="20"/>
              </w:rPr>
            </w:pPr>
          </w:p>
          <w:p w14:paraId="3F6936AE" w14:textId="77777777" w:rsidR="00752A7F" w:rsidRPr="00E31171" w:rsidRDefault="00752A7F" w:rsidP="00752A7F">
            <w:pPr>
              <w:autoSpaceDE w:val="0"/>
              <w:autoSpaceDN w:val="0"/>
              <w:adjustRightInd w:val="0"/>
              <w:jc w:val="center"/>
              <w:rPr>
                <w:rFonts w:ascii="Georgia" w:hAnsi="Georgia"/>
                <w:b/>
                <w:color w:val="auto"/>
                <w:sz w:val="20"/>
              </w:rPr>
            </w:pPr>
            <w:r w:rsidRPr="00E31171">
              <w:rPr>
                <w:rFonts w:ascii="Georgia" w:hAnsi="Georgia"/>
                <w:b/>
                <w:color w:val="auto"/>
                <w:sz w:val="20"/>
              </w:rPr>
              <w:t>Secțiunea a 6-a: Consultările efectuate în vederea elaborării proiectului de act normativ</w:t>
            </w:r>
          </w:p>
          <w:p w14:paraId="2ECD6A37" w14:textId="05B453D6" w:rsidR="00752A7F" w:rsidRPr="00E31171" w:rsidRDefault="00752A7F" w:rsidP="00752A7F">
            <w:pPr>
              <w:autoSpaceDE w:val="0"/>
              <w:autoSpaceDN w:val="0"/>
              <w:adjustRightInd w:val="0"/>
              <w:rPr>
                <w:rFonts w:ascii="Georgia" w:hAnsi="Georgia"/>
                <w:b/>
                <w:color w:val="auto"/>
                <w:sz w:val="20"/>
              </w:rPr>
            </w:pPr>
          </w:p>
        </w:tc>
      </w:tr>
      <w:tr w:rsidR="00752A7F" w:rsidRPr="001D67D9" w14:paraId="1741EF86" w14:textId="77777777" w:rsidTr="002D52F7">
        <w:trPr>
          <w:gridAfter w:val="1"/>
          <w:wAfter w:w="7" w:type="dxa"/>
        </w:trPr>
        <w:tc>
          <w:tcPr>
            <w:tcW w:w="3901" w:type="dxa"/>
            <w:gridSpan w:val="3"/>
          </w:tcPr>
          <w:p w14:paraId="0F0F075F" w14:textId="77777777" w:rsidR="00752A7F" w:rsidRPr="00E31171" w:rsidRDefault="00752A7F" w:rsidP="00752A7F">
            <w:pPr>
              <w:autoSpaceDE w:val="0"/>
              <w:autoSpaceDN w:val="0"/>
              <w:adjustRightInd w:val="0"/>
              <w:jc w:val="both"/>
              <w:rPr>
                <w:rFonts w:ascii="Georgia" w:hAnsi="Georgia"/>
                <w:color w:val="auto"/>
                <w:sz w:val="20"/>
              </w:rPr>
            </w:pPr>
            <w:r w:rsidRPr="00E31171">
              <w:rPr>
                <w:rFonts w:ascii="Georgia" w:hAnsi="Georgia"/>
                <w:color w:val="auto"/>
                <w:sz w:val="20"/>
              </w:rPr>
              <w:t>1. Informaţii privind procesul de consultare cu organizaţii neguvernamentale, institute de cercetare şi alte organisme implicate</w:t>
            </w:r>
          </w:p>
        </w:tc>
        <w:tc>
          <w:tcPr>
            <w:tcW w:w="6082" w:type="dxa"/>
          </w:tcPr>
          <w:p w14:paraId="4E9A79DD" w14:textId="212C7E19" w:rsidR="00752A7F" w:rsidRPr="001D67D9" w:rsidRDefault="001D46AB" w:rsidP="00752A7F">
            <w:pPr>
              <w:pStyle w:val="BodyText"/>
              <w:jc w:val="both"/>
              <w:rPr>
                <w:rFonts w:ascii="Georgia" w:hAnsi="Georgia"/>
                <w:color w:val="auto"/>
                <w:sz w:val="20"/>
              </w:rPr>
            </w:pPr>
            <w:r w:rsidRPr="001D46AB">
              <w:rPr>
                <w:rFonts w:ascii="Georgia" w:hAnsi="Georgia"/>
                <w:color w:val="auto"/>
                <w:sz w:val="20"/>
              </w:rPr>
              <w:t>Proiectul de act normativ nu se referă la acest subiect.</w:t>
            </w:r>
          </w:p>
        </w:tc>
      </w:tr>
      <w:tr w:rsidR="00752A7F" w:rsidRPr="001D67D9" w14:paraId="26A1E3B7" w14:textId="77777777" w:rsidTr="002D52F7">
        <w:trPr>
          <w:gridAfter w:val="1"/>
          <w:wAfter w:w="7" w:type="dxa"/>
        </w:trPr>
        <w:tc>
          <w:tcPr>
            <w:tcW w:w="3901" w:type="dxa"/>
            <w:gridSpan w:val="3"/>
          </w:tcPr>
          <w:p w14:paraId="578EB228" w14:textId="77777777" w:rsidR="00752A7F" w:rsidRPr="00E31171" w:rsidRDefault="00752A7F" w:rsidP="00752A7F">
            <w:pPr>
              <w:autoSpaceDE w:val="0"/>
              <w:autoSpaceDN w:val="0"/>
              <w:adjustRightInd w:val="0"/>
              <w:jc w:val="both"/>
              <w:rPr>
                <w:rFonts w:ascii="Georgia" w:hAnsi="Georgia"/>
                <w:color w:val="auto"/>
                <w:sz w:val="20"/>
              </w:rPr>
            </w:pPr>
            <w:r w:rsidRPr="00E31171">
              <w:rPr>
                <w:rFonts w:ascii="Georgia" w:hAnsi="Georgia"/>
                <w:color w:val="auto"/>
                <w:sz w:val="20"/>
              </w:rPr>
              <w:t xml:space="preserve">2. Fundamentarea alegerii organizaţiilor cu care a avut loc consultarea, precum şi a </w:t>
            </w:r>
            <w:r w:rsidRPr="00E31171">
              <w:rPr>
                <w:rFonts w:ascii="Georgia" w:hAnsi="Georgia"/>
                <w:color w:val="auto"/>
                <w:sz w:val="20"/>
              </w:rPr>
              <w:lastRenderedPageBreak/>
              <w:t>modului în care activitatea acestor organizaţii este legată de obiectul proiectului de act normativ</w:t>
            </w:r>
          </w:p>
        </w:tc>
        <w:tc>
          <w:tcPr>
            <w:tcW w:w="6082" w:type="dxa"/>
          </w:tcPr>
          <w:p w14:paraId="18559781" w14:textId="7A272EEE" w:rsidR="00752A7F" w:rsidRPr="001D67D9" w:rsidRDefault="001D46AB" w:rsidP="00752A7F">
            <w:pPr>
              <w:pStyle w:val="BodyText"/>
              <w:jc w:val="both"/>
              <w:rPr>
                <w:rFonts w:ascii="Georgia" w:hAnsi="Georgia"/>
                <w:color w:val="auto"/>
                <w:sz w:val="20"/>
              </w:rPr>
            </w:pPr>
            <w:r w:rsidRPr="001D46AB">
              <w:rPr>
                <w:rFonts w:ascii="Georgia" w:hAnsi="Georgia"/>
                <w:color w:val="auto"/>
                <w:sz w:val="20"/>
              </w:rPr>
              <w:lastRenderedPageBreak/>
              <w:t>Proiectul de act normativ nu se referă la acest subiect.</w:t>
            </w:r>
          </w:p>
        </w:tc>
      </w:tr>
      <w:tr w:rsidR="00752A7F" w:rsidRPr="001D67D9" w14:paraId="16253551" w14:textId="77777777" w:rsidTr="002D52F7">
        <w:trPr>
          <w:gridAfter w:val="1"/>
          <w:wAfter w:w="7" w:type="dxa"/>
        </w:trPr>
        <w:tc>
          <w:tcPr>
            <w:tcW w:w="3901" w:type="dxa"/>
            <w:gridSpan w:val="3"/>
          </w:tcPr>
          <w:p w14:paraId="2BA9B1A2" w14:textId="77777777" w:rsidR="00752A7F" w:rsidRPr="00E31171" w:rsidRDefault="00752A7F" w:rsidP="00752A7F">
            <w:pPr>
              <w:autoSpaceDE w:val="0"/>
              <w:autoSpaceDN w:val="0"/>
              <w:adjustRightInd w:val="0"/>
              <w:jc w:val="both"/>
              <w:rPr>
                <w:rFonts w:ascii="Georgia" w:hAnsi="Georgia"/>
                <w:color w:val="auto"/>
                <w:sz w:val="20"/>
              </w:rPr>
            </w:pPr>
            <w:r w:rsidRPr="00E31171">
              <w:rPr>
                <w:rFonts w:ascii="Georgia" w:hAnsi="Georgia"/>
                <w:color w:val="auto"/>
                <w:sz w:val="20"/>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6082" w:type="dxa"/>
          </w:tcPr>
          <w:p w14:paraId="281058A3" w14:textId="6F43B15F" w:rsidR="00752A7F" w:rsidRPr="001D67D9" w:rsidRDefault="001D46AB" w:rsidP="00752A7F">
            <w:pPr>
              <w:pStyle w:val="BodyText"/>
              <w:jc w:val="both"/>
              <w:rPr>
                <w:rFonts w:ascii="Georgia" w:hAnsi="Georgia"/>
                <w:color w:val="auto"/>
                <w:sz w:val="20"/>
              </w:rPr>
            </w:pPr>
            <w:r w:rsidRPr="001D46AB">
              <w:rPr>
                <w:rFonts w:ascii="Georgia" w:hAnsi="Georgia"/>
                <w:color w:val="auto"/>
                <w:sz w:val="20"/>
              </w:rPr>
              <w:t>Proiectul de act normativ nu se referă la acest subiect.</w:t>
            </w:r>
          </w:p>
        </w:tc>
      </w:tr>
      <w:tr w:rsidR="00752A7F" w:rsidRPr="001D67D9" w14:paraId="51F3AC83" w14:textId="77777777" w:rsidTr="002D52F7">
        <w:trPr>
          <w:gridAfter w:val="1"/>
          <w:wAfter w:w="7" w:type="dxa"/>
        </w:trPr>
        <w:tc>
          <w:tcPr>
            <w:tcW w:w="3901" w:type="dxa"/>
            <w:gridSpan w:val="3"/>
          </w:tcPr>
          <w:p w14:paraId="2C7B1E92" w14:textId="77777777" w:rsidR="00752A7F" w:rsidRPr="00E31171" w:rsidRDefault="00752A7F" w:rsidP="00752A7F">
            <w:pPr>
              <w:autoSpaceDE w:val="0"/>
              <w:autoSpaceDN w:val="0"/>
              <w:adjustRightInd w:val="0"/>
              <w:rPr>
                <w:rFonts w:ascii="Georgia" w:hAnsi="Georgia"/>
                <w:color w:val="auto"/>
                <w:sz w:val="20"/>
              </w:rPr>
            </w:pPr>
            <w:r w:rsidRPr="00E31171">
              <w:rPr>
                <w:rFonts w:ascii="Georgia" w:hAnsi="Georgia"/>
                <w:color w:val="auto"/>
                <w:sz w:val="20"/>
              </w:rPr>
              <w:t>4. Consultările desfăşurate în cadrul consiliilor interministeriale, în conformitate cu prevederile Hotărârii Guvernului nr. 750/2005 privind constituirea consiliilor interministeriale permanente</w:t>
            </w:r>
          </w:p>
        </w:tc>
        <w:tc>
          <w:tcPr>
            <w:tcW w:w="6082" w:type="dxa"/>
          </w:tcPr>
          <w:p w14:paraId="0A509F15" w14:textId="1A6BC8DD" w:rsidR="00752A7F" w:rsidRPr="001D67D9" w:rsidRDefault="001D46AB" w:rsidP="00752A7F">
            <w:pPr>
              <w:pStyle w:val="BodyText"/>
              <w:jc w:val="both"/>
              <w:rPr>
                <w:rFonts w:ascii="Georgia" w:hAnsi="Georgia"/>
                <w:color w:val="auto"/>
                <w:sz w:val="20"/>
              </w:rPr>
            </w:pPr>
            <w:r w:rsidRPr="001D46AB">
              <w:rPr>
                <w:rFonts w:ascii="Georgia" w:hAnsi="Georgia"/>
                <w:color w:val="auto"/>
                <w:sz w:val="20"/>
              </w:rPr>
              <w:t>Proiectul de act normativ nu se referă la acest subiect.</w:t>
            </w:r>
          </w:p>
        </w:tc>
      </w:tr>
      <w:tr w:rsidR="00752A7F" w:rsidRPr="001D67D9" w14:paraId="24434B91" w14:textId="77777777" w:rsidTr="002D52F7">
        <w:trPr>
          <w:gridAfter w:val="1"/>
          <w:wAfter w:w="7" w:type="dxa"/>
        </w:trPr>
        <w:tc>
          <w:tcPr>
            <w:tcW w:w="3901" w:type="dxa"/>
            <w:gridSpan w:val="3"/>
          </w:tcPr>
          <w:p w14:paraId="0C2E0D29"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5. Informaţii privind avizarea către:</w:t>
            </w:r>
          </w:p>
          <w:p w14:paraId="5DBBA320"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a) Consiliul Legislativ</w:t>
            </w:r>
          </w:p>
          <w:p w14:paraId="026DFC8A"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b) Consiliul Suprem de Apărare a Ţării</w:t>
            </w:r>
          </w:p>
          <w:p w14:paraId="507DDB8D"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c) Consiliul Economic şi Social</w:t>
            </w:r>
          </w:p>
          <w:p w14:paraId="075C8A84"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d) Consiliul Concurenţei</w:t>
            </w:r>
          </w:p>
          <w:p w14:paraId="043AAFB7" w14:textId="6856164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e) Curtea de Conturi</w:t>
            </w:r>
          </w:p>
        </w:tc>
        <w:tc>
          <w:tcPr>
            <w:tcW w:w="6082" w:type="dxa"/>
          </w:tcPr>
          <w:p w14:paraId="5A73B713" w14:textId="67914CE0" w:rsidR="00752A7F" w:rsidRPr="001D67D9" w:rsidRDefault="00752A7F" w:rsidP="00752A7F">
            <w:pPr>
              <w:pStyle w:val="BodyText"/>
              <w:jc w:val="both"/>
              <w:rPr>
                <w:rFonts w:ascii="Georgia" w:hAnsi="Georgia"/>
                <w:color w:val="auto"/>
                <w:sz w:val="20"/>
              </w:rPr>
            </w:pPr>
            <w:r w:rsidRPr="001D67D9">
              <w:rPr>
                <w:rFonts w:ascii="Georgia" w:hAnsi="Georgia"/>
                <w:color w:val="auto"/>
                <w:sz w:val="20"/>
              </w:rPr>
              <w:t>Proiectul de act normativ urmează a fi avizat de Consiliul Legislativ.</w:t>
            </w:r>
          </w:p>
        </w:tc>
      </w:tr>
      <w:tr w:rsidR="00752A7F" w:rsidRPr="001D67D9" w14:paraId="43784103" w14:textId="77777777" w:rsidTr="002D52F7">
        <w:trPr>
          <w:gridAfter w:val="1"/>
          <w:wAfter w:w="7" w:type="dxa"/>
        </w:trPr>
        <w:tc>
          <w:tcPr>
            <w:tcW w:w="3901" w:type="dxa"/>
            <w:gridSpan w:val="3"/>
          </w:tcPr>
          <w:p w14:paraId="44B6B039" w14:textId="6D0F215D"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6. Alte informaţii</w:t>
            </w:r>
          </w:p>
        </w:tc>
        <w:tc>
          <w:tcPr>
            <w:tcW w:w="6082" w:type="dxa"/>
          </w:tcPr>
          <w:p w14:paraId="2F935D8A" w14:textId="4BE9F18A" w:rsidR="00752A7F" w:rsidRPr="001D67D9" w:rsidRDefault="00752A7F" w:rsidP="00752A7F">
            <w:pPr>
              <w:pStyle w:val="BodyText"/>
              <w:jc w:val="both"/>
              <w:rPr>
                <w:rFonts w:ascii="Georgia" w:hAnsi="Georgia"/>
                <w:color w:val="auto"/>
                <w:sz w:val="20"/>
              </w:rPr>
            </w:pPr>
            <w:r w:rsidRPr="001D67D9">
              <w:rPr>
                <w:rFonts w:ascii="Georgia" w:hAnsi="Georgia"/>
                <w:color w:val="auto"/>
                <w:sz w:val="20"/>
              </w:rPr>
              <w:t>Nu au fost identificate.</w:t>
            </w:r>
          </w:p>
        </w:tc>
      </w:tr>
      <w:tr w:rsidR="00752A7F" w:rsidRPr="001D67D9" w14:paraId="0DEF6764" w14:textId="77777777" w:rsidTr="002D52F7">
        <w:trPr>
          <w:gridAfter w:val="1"/>
          <w:wAfter w:w="7" w:type="dxa"/>
        </w:trPr>
        <w:tc>
          <w:tcPr>
            <w:tcW w:w="9983" w:type="dxa"/>
            <w:gridSpan w:val="4"/>
          </w:tcPr>
          <w:p w14:paraId="278CFC5D" w14:textId="77777777" w:rsidR="00752A7F" w:rsidRPr="001D67D9" w:rsidRDefault="00752A7F" w:rsidP="00752A7F">
            <w:pPr>
              <w:autoSpaceDE w:val="0"/>
              <w:autoSpaceDN w:val="0"/>
              <w:adjustRightInd w:val="0"/>
              <w:jc w:val="center"/>
              <w:rPr>
                <w:rFonts w:ascii="Georgia" w:hAnsi="Georgia"/>
                <w:b/>
                <w:color w:val="auto"/>
                <w:sz w:val="20"/>
              </w:rPr>
            </w:pPr>
          </w:p>
          <w:p w14:paraId="66BA45BD" w14:textId="77777777" w:rsidR="00752A7F" w:rsidRPr="001D67D9" w:rsidRDefault="00752A7F" w:rsidP="00752A7F">
            <w:pPr>
              <w:autoSpaceDE w:val="0"/>
              <w:autoSpaceDN w:val="0"/>
              <w:adjustRightInd w:val="0"/>
              <w:jc w:val="center"/>
              <w:rPr>
                <w:rFonts w:ascii="Georgia" w:hAnsi="Georgia"/>
                <w:b/>
                <w:color w:val="auto"/>
                <w:sz w:val="20"/>
              </w:rPr>
            </w:pPr>
            <w:r w:rsidRPr="001D67D9">
              <w:rPr>
                <w:rFonts w:ascii="Georgia" w:hAnsi="Georgia"/>
                <w:b/>
                <w:color w:val="auto"/>
                <w:sz w:val="20"/>
              </w:rPr>
              <w:t>Secțiunea a 7-a: Activităţi de informare publică privind elaborarea şi implementarea proiectului de act normativ</w:t>
            </w:r>
          </w:p>
          <w:p w14:paraId="51859D46" w14:textId="7200E639" w:rsidR="00752A7F" w:rsidRPr="001D67D9" w:rsidRDefault="00752A7F" w:rsidP="00752A7F">
            <w:pPr>
              <w:autoSpaceDE w:val="0"/>
              <w:autoSpaceDN w:val="0"/>
              <w:adjustRightInd w:val="0"/>
              <w:jc w:val="center"/>
              <w:rPr>
                <w:rFonts w:ascii="Georgia" w:hAnsi="Georgia"/>
                <w:b/>
                <w:color w:val="auto"/>
                <w:sz w:val="20"/>
              </w:rPr>
            </w:pPr>
          </w:p>
        </w:tc>
      </w:tr>
      <w:tr w:rsidR="00752A7F" w:rsidRPr="001D67D9" w14:paraId="6D40C835" w14:textId="77777777" w:rsidTr="002D52F7">
        <w:trPr>
          <w:gridAfter w:val="1"/>
          <w:wAfter w:w="7" w:type="dxa"/>
          <w:trHeight w:val="487"/>
        </w:trPr>
        <w:tc>
          <w:tcPr>
            <w:tcW w:w="3901" w:type="dxa"/>
            <w:gridSpan w:val="3"/>
          </w:tcPr>
          <w:p w14:paraId="345E1C74"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1. Informarea societății civile cu privire la necesitatea elaborării proiectului de act normativ</w:t>
            </w:r>
          </w:p>
        </w:tc>
        <w:tc>
          <w:tcPr>
            <w:tcW w:w="6082" w:type="dxa"/>
          </w:tcPr>
          <w:p w14:paraId="19765FAA" w14:textId="1630D263" w:rsidR="00752A7F" w:rsidRPr="001D67D9" w:rsidRDefault="00752A7F" w:rsidP="00752A7F">
            <w:pPr>
              <w:pStyle w:val="BodyText"/>
              <w:jc w:val="both"/>
              <w:rPr>
                <w:rFonts w:ascii="Georgia" w:hAnsi="Georgia"/>
                <w:color w:val="FF0000"/>
                <w:sz w:val="20"/>
              </w:rPr>
            </w:pPr>
            <w:r w:rsidRPr="001D67D9">
              <w:rPr>
                <w:rFonts w:ascii="Georgia" w:hAnsi="Georgia"/>
                <w:color w:val="000000" w:themeColor="text1"/>
                <w:sz w:val="20"/>
              </w:rPr>
              <w:t>Pentru proiectul de hotărâre a Guvernului</w:t>
            </w:r>
            <w:r w:rsidR="001D46AB">
              <w:rPr>
                <w:rFonts w:ascii="Georgia" w:hAnsi="Georgia"/>
                <w:color w:val="000000" w:themeColor="text1"/>
                <w:sz w:val="20"/>
              </w:rPr>
              <w:t xml:space="preserve"> </w:t>
            </w:r>
            <w:r w:rsidR="001D46AB" w:rsidRPr="001D46AB">
              <w:rPr>
                <w:rFonts w:ascii="Georgia" w:hAnsi="Georgia"/>
                <w:color w:val="000000" w:themeColor="text1"/>
                <w:sz w:val="20"/>
              </w:rPr>
              <w:t xml:space="preserve">privind implementarea sistemului de garanție-returnare pentru ambalaje primare nereutilizabile </w:t>
            </w:r>
            <w:r w:rsidRPr="001D67D9">
              <w:rPr>
                <w:rFonts w:ascii="Georgia" w:hAnsi="Georgia"/>
                <w:color w:val="000000" w:themeColor="text1"/>
                <w:sz w:val="20"/>
              </w:rPr>
              <w:t xml:space="preserve"> au fost îndeplinite condițiile referitoare la procedura de transparență decizională prevăzută de Legea nr. 52/2003, republicată.</w:t>
            </w:r>
          </w:p>
        </w:tc>
      </w:tr>
      <w:tr w:rsidR="00752A7F" w:rsidRPr="001D67D9" w14:paraId="32FD8D66" w14:textId="77777777" w:rsidTr="002D52F7">
        <w:trPr>
          <w:gridAfter w:val="1"/>
          <w:wAfter w:w="7" w:type="dxa"/>
        </w:trPr>
        <w:tc>
          <w:tcPr>
            <w:tcW w:w="3901" w:type="dxa"/>
            <w:gridSpan w:val="3"/>
          </w:tcPr>
          <w:p w14:paraId="694D9615" w14:textId="77777777" w:rsidR="00752A7F" w:rsidRPr="00E31171" w:rsidRDefault="00752A7F" w:rsidP="00752A7F">
            <w:pPr>
              <w:autoSpaceDE w:val="0"/>
              <w:autoSpaceDN w:val="0"/>
              <w:adjustRightInd w:val="0"/>
              <w:jc w:val="both"/>
              <w:rPr>
                <w:rFonts w:ascii="Georgia" w:hAnsi="Georgia"/>
                <w:color w:val="auto"/>
                <w:sz w:val="20"/>
              </w:rPr>
            </w:pPr>
            <w:r w:rsidRPr="00E31171">
              <w:rPr>
                <w:rFonts w:ascii="Georgia" w:hAnsi="Georgia"/>
                <w:color w:val="auto"/>
                <w:sz w:val="20"/>
              </w:rPr>
              <w:t xml:space="preserve">2. </w:t>
            </w:r>
            <w:r w:rsidRPr="00E31171">
              <w:rPr>
                <w:rFonts w:ascii="Georgia" w:hAnsi="Georgia"/>
                <w:color w:val="auto"/>
                <w:spacing w:val="-4"/>
                <w:sz w:val="20"/>
              </w:rPr>
              <w:t>Informarea societăţii civile cu privire la eventualul impact asupra mediului în urma implementării proiectului de act normativ, precum şi efectele asupra sănătăţii şi securităţii cetăţenilor sau diversităţii biologice</w:t>
            </w:r>
          </w:p>
        </w:tc>
        <w:tc>
          <w:tcPr>
            <w:tcW w:w="6082" w:type="dxa"/>
          </w:tcPr>
          <w:p w14:paraId="2C0973C6" w14:textId="77777777" w:rsidR="00752A7F" w:rsidRPr="001D67D9" w:rsidRDefault="00752A7F" w:rsidP="00752A7F">
            <w:pPr>
              <w:pStyle w:val="BodyText"/>
              <w:jc w:val="both"/>
              <w:rPr>
                <w:rFonts w:ascii="Georgia" w:hAnsi="Georgia"/>
                <w:color w:val="auto"/>
                <w:sz w:val="20"/>
              </w:rPr>
            </w:pPr>
          </w:p>
          <w:p w14:paraId="60839525" w14:textId="341D7652" w:rsidR="00752A7F" w:rsidRPr="001D67D9" w:rsidRDefault="001D46AB" w:rsidP="00752A7F">
            <w:pPr>
              <w:pStyle w:val="BodyText"/>
              <w:jc w:val="both"/>
              <w:rPr>
                <w:rFonts w:ascii="Georgia" w:hAnsi="Georgia"/>
                <w:color w:val="auto"/>
                <w:sz w:val="20"/>
              </w:rPr>
            </w:pPr>
            <w:r w:rsidRPr="001D46AB">
              <w:rPr>
                <w:rFonts w:ascii="Georgia" w:hAnsi="Georgia"/>
                <w:color w:val="auto"/>
                <w:sz w:val="20"/>
              </w:rPr>
              <w:t>Proiectul de act normativ nu se referă la acest subiect.</w:t>
            </w:r>
          </w:p>
        </w:tc>
      </w:tr>
      <w:tr w:rsidR="00752A7F" w:rsidRPr="001D67D9" w14:paraId="2CB2DE45" w14:textId="77777777" w:rsidTr="002D52F7">
        <w:trPr>
          <w:gridAfter w:val="1"/>
          <w:wAfter w:w="7" w:type="dxa"/>
        </w:trPr>
        <w:tc>
          <w:tcPr>
            <w:tcW w:w="3901" w:type="dxa"/>
            <w:gridSpan w:val="3"/>
          </w:tcPr>
          <w:p w14:paraId="44265D8B" w14:textId="66C9CD17" w:rsidR="00752A7F" w:rsidRPr="00E31171" w:rsidRDefault="00752A7F" w:rsidP="00752A7F">
            <w:pPr>
              <w:autoSpaceDE w:val="0"/>
              <w:autoSpaceDN w:val="0"/>
              <w:adjustRightInd w:val="0"/>
              <w:rPr>
                <w:rFonts w:ascii="Georgia" w:hAnsi="Georgia"/>
                <w:color w:val="auto"/>
                <w:sz w:val="20"/>
              </w:rPr>
            </w:pPr>
            <w:r w:rsidRPr="00E31171">
              <w:rPr>
                <w:rFonts w:ascii="Georgia" w:hAnsi="Georgia"/>
                <w:color w:val="auto"/>
                <w:sz w:val="20"/>
              </w:rPr>
              <w:t>3. Alte informaţii</w:t>
            </w:r>
          </w:p>
        </w:tc>
        <w:tc>
          <w:tcPr>
            <w:tcW w:w="6082" w:type="dxa"/>
          </w:tcPr>
          <w:p w14:paraId="0EDF6F05" w14:textId="66CDE197" w:rsidR="00752A7F" w:rsidRPr="001D67D9" w:rsidRDefault="00752A7F" w:rsidP="00752A7F">
            <w:pPr>
              <w:pStyle w:val="BodyText"/>
              <w:jc w:val="both"/>
              <w:rPr>
                <w:rFonts w:ascii="Georgia" w:hAnsi="Georgia"/>
                <w:color w:val="auto"/>
                <w:sz w:val="20"/>
              </w:rPr>
            </w:pPr>
            <w:r w:rsidRPr="001D67D9">
              <w:rPr>
                <w:rFonts w:ascii="Georgia" w:hAnsi="Georgia"/>
                <w:color w:val="auto"/>
                <w:sz w:val="20"/>
              </w:rPr>
              <w:t>Nu au fost identificate.</w:t>
            </w:r>
          </w:p>
        </w:tc>
      </w:tr>
      <w:tr w:rsidR="00752A7F" w:rsidRPr="001D67D9" w14:paraId="4BFD9502" w14:textId="77777777" w:rsidTr="002D52F7">
        <w:trPr>
          <w:gridAfter w:val="1"/>
          <w:wAfter w:w="7" w:type="dxa"/>
          <w:trHeight w:val="269"/>
        </w:trPr>
        <w:tc>
          <w:tcPr>
            <w:tcW w:w="9983" w:type="dxa"/>
            <w:gridSpan w:val="4"/>
          </w:tcPr>
          <w:p w14:paraId="317A3B74" w14:textId="77777777" w:rsidR="00752A7F" w:rsidRPr="001D67D9" w:rsidRDefault="00752A7F" w:rsidP="00752A7F">
            <w:pPr>
              <w:autoSpaceDE w:val="0"/>
              <w:autoSpaceDN w:val="0"/>
              <w:adjustRightInd w:val="0"/>
              <w:rPr>
                <w:rFonts w:ascii="Georgia" w:hAnsi="Georgia"/>
                <w:b/>
                <w:color w:val="auto"/>
                <w:sz w:val="20"/>
              </w:rPr>
            </w:pPr>
          </w:p>
          <w:p w14:paraId="2B90F9C6" w14:textId="1BD0B9F2" w:rsidR="00752A7F" w:rsidRPr="001D67D9" w:rsidRDefault="00752A7F" w:rsidP="00752A7F">
            <w:pPr>
              <w:autoSpaceDE w:val="0"/>
              <w:autoSpaceDN w:val="0"/>
              <w:adjustRightInd w:val="0"/>
              <w:jc w:val="center"/>
              <w:rPr>
                <w:rFonts w:ascii="Georgia" w:hAnsi="Georgia"/>
                <w:b/>
                <w:color w:val="auto"/>
                <w:sz w:val="20"/>
              </w:rPr>
            </w:pPr>
            <w:r w:rsidRPr="001D67D9">
              <w:rPr>
                <w:rFonts w:ascii="Georgia" w:hAnsi="Georgia"/>
                <w:b/>
                <w:color w:val="auto"/>
                <w:sz w:val="20"/>
              </w:rPr>
              <w:t>Secțiunea a 8-a: Măsuri de implementare</w:t>
            </w:r>
          </w:p>
          <w:p w14:paraId="73CAF3F3" w14:textId="77777777" w:rsidR="00752A7F" w:rsidRPr="001D67D9" w:rsidRDefault="00752A7F" w:rsidP="00752A7F">
            <w:pPr>
              <w:autoSpaceDE w:val="0"/>
              <w:autoSpaceDN w:val="0"/>
              <w:adjustRightInd w:val="0"/>
              <w:jc w:val="center"/>
              <w:rPr>
                <w:rFonts w:ascii="Georgia" w:hAnsi="Georgia"/>
                <w:b/>
                <w:color w:val="auto"/>
                <w:sz w:val="20"/>
              </w:rPr>
            </w:pPr>
          </w:p>
        </w:tc>
      </w:tr>
      <w:tr w:rsidR="00752A7F" w:rsidRPr="001D67D9" w14:paraId="5E47512C" w14:textId="77777777" w:rsidTr="002D52F7">
        <w:trPr>
          <w:gridAfter w:val="1"/>
          <w:wAfter w:w="7" w:type="dxa"/>
        </w:trPr>
        <w:tc>
          <w:tcPr>
            <w:tcW w:w="3901" w:type="dxa"/>
            <w:gridSpan w:val="3"/>
          </w:tcPr>
          <w:p w14:paraId="5A4A3E93" w14:textId="77777777"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 xml:space="preserve">1. </w:t>
            </w:r>
            <w:r w:rsidRPr="001D67D9">
              <w:rPr>
                <w:rFonts w:ascii="Georgia" w:hAnsi="Georgia"/>
                <w:color w:val="auto"/>
                <w:spacing w:val="-4"/>
                <w:sz w:val="20"/>
              </w:rPr>
              <w:t>Măsurile de punere în aplicare a proiectului de act normativ de către  autorităţile administraţiei publice centrale şi/sau locale – înfiinţarea unor noi organisme sau extinderea competenţelor instituţiilor existente</w:t>
            </w:r>
          </w:p>
        </w:tc>
        <w:tc>
          <w:tcPr>
            <w:tcW w:w="6082" w:type="dxa"/>
          </w:tcPr>
          <w:p w14:paraId="6D4F66DD" w14:textId="6B736414" w:rsidR="00752A7F" w:rsidRDefault="00752A7F" w:rsidP="00752A7F">
            <w:pPr>
              <w:pStyle w:val="BodyText"/>
              <w:jc w:val="both"/>
              <w:rPr>
                <w:rFonts w:ascii="Georgia" w:hAnsi="Georgia"/>
                <w:color w:val="auto"/>
                <w:sz w:val="20"/>
              </w:rPr>
            </w:pPr>
            <w:r w:rsidRPr="001D67D9">
              <w:rPr>
                <w:rFonts w:ascii="Georgia" w:hAnsi="Georgia"/>
                <w:color w:val="auto"/>
                <w:sz w:val="20"/>
              </w:rPr>
              <w:t xml:space="preserve">Proiectul de act normativ </w:t>
            </w:r>
            <w:r w:rsidR="00B77E08">
              <w:rPr>
                <w:rFonts w:ascii="Georgia" w:hAnsi="Georgia"/>
                <w:color w:val="auto"/>
                <w:sz w:val="20"/>
              </w:rPr>
              <w:t>prevede atribuții de supraveghere și de control în vederea implementării și a funcționării sistemului de garanție-returnare în sarcina:</w:t>
            </w:r>
          </w:p>
          <w:p w14:paraId="0E91445B" w14:textId="77777777" w:rsidR="00B77E08" w:rsidRDefault="00B77E08" w:rsidP="00752A7F">
            <w:pPr>
              <w:pStyle w:val="BodyText"/>
              <w:numPr>
                <w:ilvl w:val="0"/>
                <w:numId w:val="25"/>
              </w:numPr>
              <w:jc w:val="both"/>
              <w:rPr>
                <w:rFonts w:ascii="Georgia" w:hAnsi="Georgia"/>
                <w:color w:val="auto"/>
                <w:sz w:val="20"/>
              </w:rPr>
            </w:pPr>
            <w:r w:rsidRPr="00B77E08">
              <w:rPr>
                <w:rFonts w:ascii="Georgia" w:hAnsi="Georgia"/>
                <w:color w:val="auto"/>
                <w:sz w:val="20"/>
              </w:rPr>
              <w:t>Comisi</w:t>
            </w:r>
            <w:r>
              <w:rPr>
                <w:rFonts w:ascii="Georgia" w:hAnsi="Georgia"/>
                <w:color w:val="auto"/>
                <w:sz w:val="20"/>
              </w:rPr>
              <w:t>ei</w:t>
            </w:r>
            <w:r w:rsidRPr="00B77E08">
              <w:rPr>
                <w:rFonts w:ascii="Georgia" w:hAnsi="Georgia"/>
                <w:color w:val="auto"/>
                <w:sz w:val="20"/>
              </w:rPr>
              <w:t xml:space="preserve"> de supraveghere a răspunderii extinse a producătorilor</w:t>
            </w:r>
            <w:r>
              <w:rPr>
                <w:rFonts w:ascii="Georgia" w:hAnsi="Georgia"/>
                <w:color w:val="auto"/>
                <w:sz w:val="20"/>
              </w:rPr>
              <w:t xml:space="preserve">; </w:t>
            </w:r>
          </w:p>
          <w:p w14:paraId="24D15208" w14:textId="32B621B9" w:rsidR="00B77E08" w:rsidRDefault="00B77E08" w:rsidP="00752A7F">
            <w:pPr>
              <w:pStyle w:val="BodyText"/>
              <w:numPr>
                <w:ilvl w:val="0"/>
                <w:numId w:val="25"/>
              </w:numPr>
              <w:jc w:val="both"/>
              <w:rPr>
                <w:rFonts w:ascii="Georgia" w:hAnsi="Georgia"/>
                <w:color w:val="auto"/>
                <w:sz w:val="20"/>
              </w:rPr>
            </w:pPr>
            <w:r w:rsidRPr="00B77E08">
              <w:rPr>
                <w:rFonts w:ascii="Georgia" w:hAnsi="Georgia"/>
                <w:color w:val="auto"/>
                <w:sz w:val="20"/>
              </w:rPr>
              <w:t>G</w:t>
            </w:r>
            <w:r>
              <w:rPr>
                <w:rFonts w:ascii="Georgia" w:hAnsi="Georgia"/>
                <w:color w:val="auto"/>
                <w:sz w:val="20"/>
              </w:rPr>
              <w:t>ărzii</w:t>
            </w:r>
            <w:r w:rsidRPr="00B77E08">
              <w:rPr>
                <w:rFonts w:ascii="Georgia" w:hAnsi="Georgia"/>
                <w:color w:val="auto"/>
                <w:sz w:val="20"/>
              </w:rPr>
              <w:t xml:space="preserve"> </w:t>
            </w:r>
            <w:r w:rsidR="00232AE8">
              <w:rPr>
                <w:rFonts w:ascii="Georgia" w:hAnsi="Georgia"/>
                <w:color w:val="auto"/>
                <w:sz w:val="20"/>
              </w:rPr>
              <w:t xml:space="preserve">Naționale </w:t>
            </w:r>
            <w:r w:rsidRPr="00B77E08">
              <w:rPr>
                <w:rFonts w:ascii="Georgia" w:hAnsi="Georgia"/>
                <w:color w:val="auto"/>
                <w:sz w:val="20"/>
              </w:rPr>
              <w:t>de Mediu</w:t>
            </w:r>
            <w:r>
              <w:rPr>
                <w:rFonts w:ascii="Georgia" w:hAnsi="Georgia"/>
                <w:color w:val="auto"/>
                <w:sz w:val="20"/>
              </w:rPr>
              <w:t xml:space="preserve">; </w:t>
            </w:r>
          </w:p>
          <w:p w14:paraId="361C5487" w14:textId="77777777" w:rsidR="00B77E08" w:rsidRDefault="00B77E08" w:rsidP="00752A7F">
            <w:pPr>
              <w:pStyle w:val="BodyText"/>
              <w:numPr>
                <w:ilvl w:val="0"/>
                <w:numId w:val="25"/>
              </w:numPr>
              <w:jc w:val="both"/>
              <w:rPr>
                <w:rFonts w:ascii="Georgia" w:hAnsi="Georgia"/>
                <w:color w:val="auto"/>
                <w:sz w:val="20"/>
              </w:rPr>
            </w:pPr>
            <w:r w:rsidRPr="00B77E08">
              <w:rPr>
                <w:rFonts w:ascii="Georgia" w:hAnsi="Georgia"/>
                <w:color w:val="auto"/>
                <w:sz w:val="20"/>
              </w:rPr>
              <w:t>Agenți</w:t>
            </w:r>
            <w:r>
              <w:rPr>
                <w:rFonts w:ascii="Georgia" w:hAnsi="Georgia"/>
                <w:color w:val="auto"/>
                <w:sz w:val="20"/>
              </w:rPr>
              <w:t>ei</w:t>
            </w:r>
            <w:r w:rsidRPr="00B77E08">
              <w:rPr>
                <w:rFonts w:ascii="Georgia" w:hAnsi="Georgia"/>
                <w:color w:val="auto"/>
                <w:sz w:val="20"/>
              </w:rPr>
              <w:t xml:space="preserve"> Național</w:t>
            </w:r>
            <w:r>
              <w:rPr>
                <w:rFonts w:ascii="Georgia" w:hAnsi="Georgia"/>
                <w:color w:val="auto"/>
                <w:sz w:val="20"/>
              </w:rPr>
              <w:t>e</w:t>
            </w:r>
            <w:r w:rsidRPr="00B77E08">
              <w:rPr>
                <w:rFonts w:ascii="Georgia" w:hAnsi="Georgia"/>
                <w:color w:val="auto"/>
                <w:sz w:val="20"/>
              </w:rPr>
              <w:t xml:space="preserve"> pentru Protecția Consumatorului</w:t>
            </w:r>
            <w:r>
              <w:rPr>
                <w:rFonts w:ascii="Georgia" w:hAnsi="Georgia"/>
                <w:color w:val="auto"/>
                <w:sz w:val="20"/>
              </w:rPr>
              <w:t xml:space="preserve">; </w:t>
            </w:r>
          </w:p>
          <w:p w14:paraId="7727DDBD" w14:textId="5DBB71D1" w:rsidR="00752A7F" w:rsidRDefault="00B77E08" w:rsidP="00752A7F">
            <w:pPr>
              <w:pStyle w:val="BodyText"/>
              <w:numPr>
                <w:ilvl w:val="0"/>
                <w:numId w:val="25"/>
              </w:numPr>
              <w:jc w:val="both"/>
              <w:rPr>
                <w:rFonts w:ascii="Georgia" w:hAnsi="Georgia"/>
                <w:color w:val="auto"/>
                <w:sz w:val="20"/>
              </w:rPr>
            </w:pPr>
            <w:r w:rsidRPr="00B77E08">
              <w:rPr>
                <w:rFonts w:ascii="Georgia" w:hAnsi="Georgia"/>
                <w:color w:val="auto"/>
                <w:sz w:val="20"/>
              </w:rPr>
              <w:t>A</w:t>
            </w:r>
            <w:r w:rsidR="00232AE8">
              <w:rPr>
                <w:rFonts w:ascii="Georgia" w:hAnsi="Georgia"/>
                <w:color w:val="auto"/>
                <w:sz w:val="20"/>
              </w:rPr>
              <w:t>dministrației</w:t>
            </w:r>
            <w:r w:rsidRPr="00B77E08">
              <w:rPr>
                <w:rFonts w:ascii="Georgia" w:hAnsi="Georgia"/>
                <w:color w:val="auto"/>
                <w:sz w:val="20"/>
              </w:rPr>
              <w:t xml:space="preserve"> Fondului pentru Mediu.</w:t>
            </w:r>
          </w:p>
          <w:p w14:paraId="1A2A27D8" w14:textId="2DB0EAAE" w:rsidR="00B77E08" w:rsidRPr="00B77E08" w:rsidRDefault="00B77E08" w:rsidP="00B77E08">
            <w:pPr>
              <w:pStyle w:val="BodyText"/>
              <w:ind w:left="720"/>
              <w:jc w:val="both"/>
              <w:rPr>
                <w:rFonts w:ascii="Georgia" w:hAnsi="Georgia"/>
                <w:color w:val="auto"/>
                <w:sz w:val="20"/>
              </w:rPr>
            </w:pPr>
          </w:p>
        </w:tc>
      </w:tr>
      <w:tr w:rsidR="00752A7F" w:rsidRPr="001D67D9" w14:paraId="63211326" w14:textId="77777777" w:rsidTr="002D52F7">
        <w:trPr>
          <w:gridAfter w:val="1"/>
          <w:wAfter w:w="7" w:type="dxa"/>
        </w:trPr>
        <w:tc>
          <w:tcPr>
            <w:tcW w:w="3901" w:type="dxa"/>
            <w:gridSpan w:val="3"/>
          </w:tcPr>
          <w:p w14:paraId="7101FEAA" w14:textId="152B76E3" w:rsidR="00752A7F" w:rsidRPr="001D67D9" w:rsidRDefault="00752A7F" w:rsidP="00752A7F">
            <w:pPr>
              <w:autoSpaceDE w:val="0"/>
              <w:autoSpaceDN w:val="0"/>
              <w:adjustRightInd w:val="0"/>
              <w:jc w:val="both"/>
              <w:rPr>
                <w:rFonts w:ascii="Georgia" w:hAnsi="Georgia"/>
                <w:color w:val="auto"/>
                <w:sz w:val="20"/>
              </w:rPr>
            </w:pPr>
            <w:r w:rsidRPr="001D67D9">
              <w:rPr>
                <w:rFonts w:ascii="Georgia" w:hAnsi="Georgia"/>
                <w:color w:val="auto"/>
                <w:sz w:val="20"/>
              </w:rPr>
              <w:t>2. Alte informaţii</w:t>
            </w:r>
          </w:p>
        </w:tc>
        <w:tc>
          <w:tcPr>
            <w:tcW w:w="6082" w:type="dxa"/>
          </w:tcPr>
          <w:p w14:paraId="7493BF5C" w14:textId="03731DAF" w:rsidR="00752A7F" w:rsidRPr="001D67D9" w:rsidRDefault="00752A7F" w:rsidP="00752A7F">
            <w:pPr>
              <w:pStyle w:val="BodyText"/>
              <w:jc w:val="both"/>
              <w:rPr>
                <w:rFonts w:ascii="Georgia" w:hAnsi="Georgia"/>
                <w:color w:val="auto"/>
                <w:sz w:val="20"/>
              </w:rPr>
            </w:pPr>
            <w:r w:rsidRPr="001D67D9">
              <w:rPr>
                <w:rFonts w:ascii="Georgia" w:hAnsi="Georgia"/>
                <w:color w:val="auto"/>
                <w:sz w:val="20"/>
              </w:rPr>
              <w:t>Nu au fost identificate.</w:t>
            </w:r>
          </w:p>
        </w:tc>
      </w:tr>
    </w:tbl>
    <w:p w14:paraId="06E873D9" w14:textId="3E89E87D" w:rsidR="008B7B6D" w:rsidRPr="001D67D9" w:rsidRDefault="008B7B6D" w:rsidP="0098741F">
      <w:pPr>
        <w:jc w:val="both"/>
        <w:rPr>
          <w:rFonts w:ascii="Georgia" w:hAnsi="Georgia"/>
          <w:color w:val="auto"/>
          <w:sz w:val="20"/>
        </w:rPr>
      </w:pPr>
    </w:p>
    <w:p w14:paraId="589C297B" w14:textId="79F04366" w:rsidR="00D2225D" w:rsidRPr="001D67D9" w:rsidRDefault="00D2225D" w:rsidP="0098741F">
      <w:pPr>
        <w:autoSpaceDE w:val="0"/>
        <w:autoSpaceDN w:val="0"/>
        <w:adjustRightInd w:val="0"/>
        <w:spacing w:line="276" w:lineRule="auto"/>
        <w:jc w:val="both"/>
        <w:rPr>
          <w:rFonts w:ascii="Georgia" w:hAnsi="Georgia"/>
          <w:color w:val="auto"/>
          <w:sz w:val="20"/>
        </w:rPr>
      </w:pPr>
    </w:p>
    <w:p w14:paraId="424F014F" w14:textId="2F0A707B" w:rsidR="00D2225D" w:rsidRPr="001D67D9" w:rsidRDefault="00BA3814" w:rsidP="00232AE8">
      <w:pPr>
        <w:tabs>
          <w:tab w:val="left" w:pos="6146"/>
        </w:tabs>
        <w:jc w:val="both"/>
        <w:rPr>
          <w:rFonts w:ascii="Georgia" w:hAnsi="Georgia"/>
          <w:bCs/>
          <w:color w:val="auto"/>
          <w:sz w:val="20"/>
        </w:rPr>
      </w:pPr>
      <w:r w:rsidRPr="001D67D9">
        <w:rPr>
          <w:rFonts w:ascii="Georgia" w:hAnsi="Georgia"/>
          <w:color w:val="auto"/>
          <w:sz w:val="20"/>
        </w:rPr>
        <w:t xml:space="preserve">Pentru </w:t>
      </w:r>
      <w:r w:rsidR="00D2225D" w:rsidRPr="001D67D9">
        <w:rPr>
          <w:rFonts w:ascii="Georgia" w:hAnsi="Georgia"/>
          <w:color w:val="auto"/>
          <w:sz w:val="20"/>
        </w:rPr>
        <w:t xml:space="preserve">considerentele de mai sus, am elaborat proiectul de </w:t>
      </w:r>
      <w:r w:rsidR="00232AE8">
        <w:rPr>
          <w:rFonts w:ascii="Georgia" w:hAnsi="Georgia"/>
          <w:color w:val="auto"/>
          <w:sz w:val="20"/>
        </w:rPr>
        <w:t xml:space="preserve">Hotărâre de Guvern </w:t>
      </w:r>
      <w:r w:rsidR="00232AE8" w:rsidRPr="00232AE8">
        <w:rPr>
          <w:rFonts w:ascii="Georgia" w:hAnsi="Georgia"/>
          <w:b/>
          <w:bCs/>
          <w:i/>
          <w:iCs/>
          <w:color w:val="auto"/>
          <w:sz w:val="20"/>
        </w:rPr>
        <w:t xml:space="preserve">pentru stabilirea sistemului de garanţie-returnare pentru ambalaje primare nereutilizabile </w:t>
      </w:r>
      <w:r w:rsidR="00D2225D" w:rsidRPr="001D67D9">
        <w:rPr>
          <w:rFonts w:ascii="Georgia" w:hAnsi="Georgia"/>
          <w:color w:val="auto"/>
          <w:sz w:val="20"/>
        </w:rPr>
        <w:t xml:space="preserve">care în forma prezentată a fost avizat de către ministerele interesate și de Consiliul Legislativ și pe care îl supunem spre adoptare. </w:t>
      </w:r>
    </w:p>
    <w:p w14:paraId="11569997" w14:textId="77777777" w:rsidR="00D2225D" w:rsidRPr="001D67D9" w:rsidRDefault="00D2225D" w:rsidP="0098741F">
      <w:pPr>
        <w:autoSpaceDE w:val="0"/>
        <w:autoSpaceDN w:val="0"/>
        <w:adjustRightInd w:val="0"/>
        <w:spacing w:line="276" w:lineRule="auto"/>
        <w:jc w:val="both"/>
        <w:rPr>
          <w:rFonts w:ascii="Georgia" w:hAnsi="Georgia"/>
          <w:b/>
          <w:color w:val="auto"/>
          <w:sz w:val="20"/>
        </w:rPr>
      </w:pPr>
    </w:p>
    <w:p w14:paraId="010C6412" w14:textId="77777777" w:rsidR="008B7B6D" w:rsidRPr="001D67D9" w:rsidRDefault="008B7B6D" w:rsidP="0098741F">
      <w:pPr>
        <w:jc w:val="both"/>
        <w:rPr>
          <w:rFonts w:ascii="Georgia" w:hAnsi="Georgia"/>
          <w:color w:val="auto"/>
          <w:sz w:val="20"/>
        </w:rPr>
      </w:pPr>
    </w:p>
    <w:p w14:paraId="5367C04F" w14:textId="77777777" w:rsidR="008B7B6D" w:rsidRPr="001D67D9" w:rsidRDefault="008B7B6D" w:rsidP="0098741F">
      <w:pPr>
        <w:jc w:val="both"/>
        <w:rPr>
          <w:rFonts w:ascii="Georgia" w:hAnsi="Georgia"/>
          <w:color w:val="auto"/>
          <w:sz w:val="20"/>
        </w:rPr>
      </w:pPr>
    </w:p>
    <w:p w14:paraId="4E497243" w14:textId="77777777" w:rsidR="008B7B6D" w:rsidRPr="001D67D9" w:rsidRDefault="008B7B6D" w:rsidP="0098741F">
      <w:pPr>
        <w:jc w:val="both"/>
        <w:rPr>
          <w:rFonts w:ascii="Georgia" w:hAnsi="Georgia"/>
          <w:color w:val="auto"/>
          <w:sz w:val="20"/>
        </w:rPr>
      </w:pPr>
    </w:p>
    <w:p w14:paraId="22B46E4C" w14:textId="7DCA505B" w:rsidR="00E93F77" w:rsidRPr="001D67D9" w:rsidRDefault="00E93F77" w:rsidP="0098741F">
      <w:pPr>
        <w:rPr>
          <w:rFonts w:ascii="Georgia" w:hAnsi="Georgia"/>
          <w:b/>
          <w:sz w:val="20"/>
        </w:rPr>
      </w:pPr>
    </w:p>
    <w:sectPr w:rsidR="00E93F77" w:rsidRPr="001D67D9" w:rsidSect="00873758">
      <w:headerReference w:type="even" r:id="rId7"/>
      <w:headerReference w:type="default" r:id="rId8"/>
      <w:footerReference w:type="even" r:id="rId9"/>
      <w:footerReference w:type="default" r:id="rId10"/>
      <w:headerReference w:type="first" r:id="rId11"/>
      <w:footerReference w:type="first" r:id="rId12"/>
      <w:pgSz w:w="11907" w:h="16840" w:code="9"/>
      <w:pgMar w:top="426" w:right="747" w:bottom="990" w:left="99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7E25" w14:textId="77777777" w:rsidR="00A61373" w:rsidRDefault="00A61373" w:rsidP="00332140">
      <w:r>
        <w:separator/>
      </w:r>
    </w:p>
  </w:endnote>
  <w:endnote w:type="continuationSeparator" w:id="0">
    <w:p w14:paraId="6485A046" w14:textId="77777777" w:rsidR="00A61373" w:rsidRDefault="00A61373" w:rsidP="0033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F47C" w14:textId="77777777" w:rsidR="002721BA" w:rsidRDefault="0027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A5AE" w14:textId="77777777" w:rsidR="002721BA" w:rsidRDefault="0027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B0C2" w14:textId="77777777" w:rsidR="002721BA" w:rsidRDefault="0027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DF00" w14:textId="77777777" w:rsidR="00A61373" w:rsidRDefault="00A61373" w:rsidP="00332140">
      <w:r>
        <w:separator/>
      </w:r>
    </w:p>
  </w:footnote>
  <w:footnote w:type="continuationSeparator" w:id="0">
    <w:p w14:paraId="52058F2E" w14:textId="77777777" w:rsidR="00A61373" w:rsidRDefault="00A61373" w:rsidP="0033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F4FC" w14:textId="74A44731" w:rsidR="002721BA" w:rsidRDefault="00A61373">
    <w:pPr>
      <w:pStyle w:val="Header"/>
    </w:pPr>
    <w:r>
      <w:rPr>
        <w:noProof/>
      </w:rPr>
      <w:pict w14:anchorId="16C09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231282" o:spid="_x0000_s2050" type="#_x0000_t136" style="position:absolute;margin-left:0;margin-top:0;width:501.8pt;height:215.05pt;rotation:315;z-index:-251655168;mso-position-horizontal:center;mso-position-horizontal-relative:margin;mso-position-vertical:center;mso-position-vertical-relative:margin" o:allowincell="f" fillcolor="#747070 [161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3415" w14:textId="6F863640" w:rsidR="002721BA" w:rsidRDefault="00A61373">
    <w:pPr>
      <w:pStyle w:val="Header"/>
    </w:pPr>
    <w:r>
      <w:rPr>
        <w:noProof/>
      </w:rPr>
      <w:pict w14:anchorId="0DF0F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231283" o:spid="_x0000_s2051" type="#_x0000_t136" style="position:absolute;margin-left:0;margin-top:0;width:501.8pt;height:215.05pt;rotation:315;z-index:-251653120;mso-position-horizontal:center;mso-position-horizontal-relative:margin;mso-position-vertical:center;mso-position-vertical-relative:margin" o:allowincell="f" fillcolor="#747070 [161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8DC3" w14:textId="401EDCBF" w:rsidR="002721BA" w:rsidRDefault="00A61373">
    <w:pPr>
      <w:pStyle w:val="Header"/>
    </w:pPr>
    <w:r>
      <w:rPr>
        <w:noProof/>
      </w:rPr>
      <w:pict w14:anchorId="250EB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231281" o:spid="_x0000_s2049" type="#_x0000_t136" style="position:absolute;margin-left:0;margin-top:0;width:501.8pt;height:215.05pt;rotation:315;z-index:-251657216;mso-position-horizontal:center;mso-position-horizontal-relative:margin;mso-position-vertical:center;mso-position-vertical-relative:margin" o:allowincell="f" fillcolor="#747070 [161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D00"/>
    <w:multiLevelType w:val="hybridMultilevel"/>
    <w:tmpl w:val="393E51A0"/>
    <w:lvl w:ilvl="0" w:tplc="CDE2DDD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2C72"/>
    <w:multiLevelType w:val="hybridMultilevel"/>
    <w:tmpl w:val="459CE27C"/>
    <w:lvl w:ilvl="0" w:tplc="62FCE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712CCA"/>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58C5"/>
    <w:multiLevelType w:val="hybridMultilevel"/>
    <w:tmpl w:val="679E79CC"/>
    <w:lvl w:ilvl="0" w:tplc="AAEE1B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350EEF"/>
    <w:multiLevelType w:val="hybridMultilevel"/>
    <w:tmpl w:val="3060249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220023FE"/>
    <w:multiLevelType w:val="hybridMultilevel"/>
    <w:tmpl w:val="9982B544"/>
    <w:lvl w:ilvl="0" w:tplc="FE42B946">
      <w:start w:val="1"/>
      <w:numFmt w:val="lowerRoman"/>
      <w:lvlText w:val="(%1)"/>
      <w:lvlJc w:val="left"/>
      <w:pPr>
        <w:tabs>
          <w:tab w:val="num" w:pos="1080"/>
        </w:tabs>
        <w:ind w:left="1080" w:hanging="720"/>
      </w:pPr>
      <w:rPr>
        <w:rFonts w:hint="default"/>
      </w:rPr>
    </w:lvl>
    <w:lvl w:ilvl="1" w:tplc="F726F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E7CC4"/>
    <w:multiLevelType w:val="hybridMultilevel"/>
    <w:tmpl w:val="B9F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9242A"/>
    <w:multiLevelType w:val="hybridMultilevel"/>
    <w:tmpl w:val="09F68754"/>
    <w:lvl w:ilvl="0" w:tplc="04A2FAB8">
      <w:start w:val="1"/>
      <w:numFmt w:val="lowerRoman"/>
      <w:lvlText w:val="(%1)"/>
      <w:lvlJc w:val="left"/>
      <w:pPr>
        <w:tabs>
          <w:tab w:val="num" w:pos="1080"/>
        </w:tabs>
        <w:ind w:left="1080" w:hanging="720"/>
      </w:pPr>
      <w:rPr>
        <w:rFonts w:hint="default"/>
      </w:rPr>
    </w:lvl>
    <w:lvl w:ilvl="1" w:tplc="9AE6FE22">
      <w:start w:val="3"/>
      <w:numFmt w:val="lowerLetter"/>
      <w:lvlText w:val="%2)"/>
      <w:lvlJc w:val="left"/>
      <w:pPr>
        <w:tabs>
          <w:tab w:val="num" w:pos="1800"/>
        </w:tabs>
        <w:ind w:left="1800" w:hanging="360"/>
      </w:pPr>
      <w:rPr>
        <w:rFonts w:hint="default"/>
      </w:rPr>
    </w:lvl>
    <w:lvl w:ilvl="2" w:tplc="04A2FAB8">
      <w:start w:val="1"/>
      <w:numFmt w:val="lowerRoman"/>
      <w:lvlText w:val="(%3)"/>
      <w:lvlJc w:val="left"/>
      <w:pPr>
        <w:tabs>
          <w:tab w:val="num" w:pos="3060"/>
        </w:tabs>
        <w:ind w:left="3060" w:hanging="720"/>
      </w:pPr>
      <w:rPr>
        <w:rFonts w:hint="default"/>
      </w:rPr>
    </w:lvl>
    <w:lvl w:ilvl="3" w:tplc="040207A8">
      <w:start w:val="5"/>
      <w:numFmt w:val="bullet"/>
      <w:lvlText w:val="-"/>
      <w:lvlJc w:val="lef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381D8B"/>
    <w:multiLevelType w:val="hybridMultilevel"/>
    <w:tmpl w:val="6178C10C"/>
    <w:lvl w:ilvl="0" w:tplc="6AF4B45A">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B54A6"/>
    <w:multiLevelType w:val="hybridMultilevel"/>
    <w:tmpl w:val="1A98B764"/>
    <w:lvl w:ilvl="0" w:tplc="91D65B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275140"/>
    <w:multiLevelType w:val="hybridMultilevel"/>
    <w:tmpl w:val="5702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5341B"/>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D74FFC"/>
    <w:multiLevelType w:val="hybridMultilevel"/>
    <w:tmpl w:val="487E594C"/>
    <w:lvl w:ilvl="0" w:tplc="20C4632E">
      <w:start w:val="1"/>
      <w:numFmt w:val="lowerLetter"/>
      <w:lvlText w:val="%1)"/>
      <w:lvlJc w:val="left"/>
      <w:pPr>
        <w:ind w:left="720" w:hanging="360"/>
      </w:pPr>
      <w:rPr>
        <w:rFonts w:ascii="Times New Roman" w:eastAsia="Calibri"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A118E"/>
    <w:multiLevelType w:val="hybridMultilevel"/>
    <w:tmpl w:val="107472FE"/>
    <w:lvl w:ilvl="0" w:tplc="9BDCAEE8">
      <w:start w:val="1"/>
      <w:numFmt w:val="lowerLetter"/>
      <w:lvlText w:val="%1)"/>
      <w:lvlJc w:val="left"/>
      <w:pPr>
        <w:tabs>
          <w:tab w:val="num" w:pos="360"/>
        </w:tabs>
        <w:ind w:left="360" w:hanging="360"/>
      </w:pPr>
      <w:rPr>
        <w:rFonts w:hint="default"/>
      </w:rPr>
    </w:lvl>
    <w:lvl w:ilvl="1" w:tplc="FE42B94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36117D"/>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63A4A"/>
    <w:multiLevelType w:val="hybridMultilevel"/>
    <w:tmpl w:val="3FE45ED8"/>
    <w:lvl w:ilvl="0" w:tplc="B58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D5349"/>
    <w:multiLevelType w:val="hybridMultilevel"/>
    <w:tmpl w:val="B232D2DA"/>
    <w:lvl w:ilvl="0" w:tplc="08A852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4F0514"/>
    <w:multiLevelType w:val="hybridMultilevel"/>
    <w:tmpl w:val="A92EF408"/>
    <w:lvl w:ilvl="0" w:tplc="7242C1BE">
      <w:start w:val="1"/>
      <w:numFmt w:val="bullet"/>
      <w:lvlText w:val=""/>
      <w:lvlJc w:val="left"/>
      <w:pPr>
        <w:tabs>
          <w:tab w:val="num" w:pos="502"/>
        </w:tabs>
        <w:ind w:left="502" w:hanging="360"/>
      </w:pPr>
      <w:rPr>
        <w:rFonts w:ascii="Symbol" w:hAnsi="Symbol" w:hint="default"/>
        <w:color w:val="auto"/>
      </w:rPr>
    </w:lvl>
    <w:lvl w:ilvl="1" w:tplc="72B29D9A">
      <w:numFmt w:val="bullet"/>
      <w:lvlText w:val="-"/>
      <w:lvlJc w:val="left"/>
      <w:pPr>
        <w:tabs>
          <w:tab w:val="num" w:pos="1080"/>
        </w:tabs>
        <w:ind w:left="1080" w:hanging="360"/>
      </w:pPr>
      <w:rPr>
        <w:rFonts w:ascii="Arial" w:eastAsia="Times New Roman" w:hAnsi="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FA1AEA"/>
    <w:multiLevelType w:val="hybridMultilevel"/>
    <w:tmpl w:val="C4184686"/>
    <w:lvl w:ilvl="0" w:tplc="F692FB30">
      <w:start w:val="1"/>
      <w:numFmt w:val="lowerRoman"/>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3C0CE8"/>
    <w:multiLevelType w:val="hybridMultilevel"/>
    <w:tmpl w:val="89BEBA7C"/>
    <w:lvl w:ilvl="0" w:tplc="2CBA4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07909"/>
    <w:multiLevelType w:val="hybridMultilevel"/>
    <w:tmpl w:val="7722B782"/>
    <w:lvl w:ilvl="0" w:tplc="A9047CB4">
      <w:start w:val="1"/>
      <w:numFmt w:val="lowerLetter"/>
      <w:lvlText w:val="%1)"/>
      <w:lvlJc w:val="left"/>
      <w:pPr>
        <w:ind w:left="1008" w:firstLine="72"/>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5E5EE4"/>
    <w:multiLevelType w:val="hybridMultilevel"/>
    <w:tmpl w:val="4B9ADD3C"/>
    <w:lvl w:ilvl="0" w:tplc="C9FE9C28">
      <w:start w:val="1"/>
      <w:numFmt w:val="lowerRoman"/>
      <w:lvlText w:val="%1)"/>
      <w:lvlJc w:val="left"/>
      <w:pPr>
        <w:tabs>
          <w:tab w:val="num" w:pos="360"/>
        </w:tabs>
        <w:ind w:left="360" w:hanging="360"/>
      </w:pPr>
      <w:rPr>
        <w:rFonts w:ascii="Times New Roman" w:eastAsia="Times New Roman" w:hAnsi="Times New Roman" w:cs="Times New Roman"/>
        <w:color w:val="auto"/>
      </w:rPr>
    </w:lvl>
    <w:lvl w:ilvl="1" w:tplc="0409000F">
      <w:start w:val="1"/>
      <w:numFmt w:val="decimal"/>
      <w:lvlText w:val="%2."/>
      <w:lvlJc w:val="left"/>
      <w:pPr>
        <w:tabs>
          <w:tab w:val="num" w:pos="1080"/>
        </w:tabs>
        <w:ind w:left="1080" w:hanging="360"/>
      </w:pPr>
      <w:rPr>
        <w:rFonts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93660E"/>
    <w:multiLevelType w:val="hybridMultilevel"/>
    <w:tmpl w:val="3E9C6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524A1D"/>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F1370A"/>
    <w:multiLevelType w:val="hybridMultilevel"/>
    <w:tmpl w:val="A8D6B714"/>
    <w:lvl w:ilvl="0" w:tplc="8424C4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D2383C"/>
    <w:multiLevelType w:val="hybridMultilevel"/>
    <w:tmpl w:val="2F16E676"/>
    <w:lvl w:ilvl="0" w:tplc="A7C498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3"/>
  </w:num>
  <w:num w:numId="2">
    <w:abstractNumId w:val="16"/>
  </w:num>
  <w:num w:numId="3">
    <w:abstractNumId w:val="9"/>
  </w:num>
  <w:num w:numId="4">
    <w:abstractNumId w:val="5"/>
  </w:num>
  <w:num w:numId="5">
    <w:abstractNumId w:val="13"/>
  </w:num>
  <w:num w:numId="6">
    <w:abstractNumId w:val="2"/>
  </w:num>
  <w:num w:numId="7">
    <w:abstractNumId w:val="7"/>
  </w:num>
  <w:num w:numId="8">
    <w:abstractNumId w:val="25"/>
  </w:num>
  <w:num w:numId="9">
    <w:abstractNumId w:val="4"/>
  </w:num>
  <w:num w:numId="10">
    <w:abstractNumId w:val="17"/>
  </w:num>
  <w:num w:numId="11">
    <w:abstractNumId w:val="21"/>
  </w:num>
  <w:num w:numId="12">
    <w:abstractNumId w:val="12"/>
  </w:num>
  <w:num w:numId="13">
    <w:abstractNumId w:val="0"/>
  </w:num>
  <w:num w:numId="14">
    <w:abstractNumId w:val="15"/>
  </w:num>
  <w:num w:numId="15">
    <w:abstractNumId w:val="19"/>
  </w:num>
  <w:num w:numId="16">
    <w:abstractNumId w:val="24"/>
  </w:num>
  <w:num w:numId="17">
    <w:abstractNumId w:val="23"/>
  </w:num>
  <w:num w:numId="18">
    <w:abstractNumId w:val="20"/>
  </w:num>
  <w:num w:numId="19">
    <w:abstractNumId w:val="18"/>
  </w:num>
  <w:num w:numId="20">
    <w:abstractNumId w:val="11"/>
  </w:num>
  <w:num w:numId="21">
    <w:abstractNumId w:val="1"/>
  </w:num>
  <w:num w:numId="22">
    <w:abstractNumId w:val="14"/>
  </w:num>
  <w:num w:numId="23">
    <w:abstractNumId w:val="6"/>
  </w:num>
  <w:num w:numId="24">
    <w:abstractNumId w:val="8"/>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6D"/>
    <w:rsid w:val="000075EA"/>
    <w:rsid w:val="00010BC5"/>
    <w:rsid w:val="00010D6C"/>
    <w:rsid w:val="0003048C"/>
    <w:rsid w:val="000401F6"/>
    <w:rsid w:val="00060DE4"/>
    <w:rsid w:val="00080683"/>
    <w:rsid w:val="000A3DB9"/>
    <w:rsid w:val="000A79DA"/>
    <w:rsid w:val="000C24BA"/>
    <w:rsid w:val="000D2740"/>
    <w:rsid w:val="0016225F"/>
    <w:rsid w:val="001B53F8"/>
    <w:rsid w:val="001D46AB"/>
    <w:rsid w:val="001D67D9"/>
    <w:rsid w:val="00206D52"/>
    <w:rsid w:val="0021324F"/>
    <w:rsid w:val="00216160"/>
    <w:rsid w:val="002271FB"/>
    <w:rsid w:val="00232AE8"/>
    <w:rsid w:val="002358D7"/>
    <w:rsid w:val="0024732A"/>
    <w:rsid w:val="002721BA"/>
    <w:rsid w:val="0027456E"/>
    <w:rsid w:val="002857F1"/>
    <w:rsid w:val="002D52F7"/>
    <w:rsid w:val="00332140"/>
    <w:rsid w:val="003332B6"/>
    <w:rsid w:val="0035004D"/>
    <w:rsid w:val="003B06B8"/>
    <w:rsid w:val="003C058F"/>
    <w:rsid w:val="003E4851"/>
    <w:rsid w:val="003F219F"/>
    <w:rsid w:val="0042031B"/>
    <w:rsid w:val="00425695"/>
    <w:rsid w:val="00437497"/>
    <w:rsid w:val="00467042"/>
    <w:rsid w:val="004A4330"/>
    <w:rsid w:val="004A7431"/>
    <w:rsid w:val="004B160C"/>
    <w:rsid w:val="00522DF0"/>
    <w:rsid w:val="00527B33"/>
    <w:rsid w:val="0053422A"/>
    <w:rsid w:val="005A32E5"/>
    <w:rsid w:val="005D4426"/>
    <w:rsid w:val="005E0109"/>
    <w:rsid w:val="00676F9E"/>
    <w:rsid w:val="006A4BA3"/>
    <w:rsid w:val="006E67C8"/>
    <w:rsid w:val="00712006"/>
    <w:rsid w:val="00736A43"/>
    <w:rsid w:val="00752A7F"/>
    <w:rsid w:val="00756603"/>
    <w:rsid w:val="007B4597"/>
    <w:rsid w:val="00811D3B"/>
    <w:rsid w:val="008222FC"/>
    <w:rsid w:val="00870175"/>
    <w:rsid w:val="00870EB0"/>
    <w:rsid w:val="00873758"/>
    <w:rsid w:val="0088235F"/>
    <w:rsid w:val="00884125"/>
    <w:rsid w:val="008B03EF"/>
    <w:rsid w:val="008B7B6D"/>
    <w:rsid w:val="008B7D4E"/>
    <w:rsid w:val="008D6BF8"/>
    <w:rsid w:val="008F0FEA"/>
    <w:rsid w:val="00902B7C"/>
    <w:rsid w:val="00935393"/>
    <w:rsid w:val="0098741F"/>
    <w:rsid w:val="00987740"/>
    <w:rsid w:val="009A27BA"/>
    <w:rsid w:val="009A425D"/>
    <w:rsid w:val="009B2F57"/>
    <w:rsid w:val="009F7DD8"/>
    <w:rsid w:val="00A05512"/>
    <w:rsid w:val="00A129CD"/>
    <w:rsid w:val="00A34481"/>
    <w:rsid w:val="00A41896"/>
    <w:rsid w:val="00A41B7B"/>
    <w:rsid w:val="00A61373"/>
    <w:rsid w:val="00A63D97"/>
    <w:rsid w:val="00B23B52"/>
    <w:rsid w:val="00B47AA1"/>
    <w:rsid w:val="00B53B99"/>
    <w:rsid w:val="00B76E95"/>
    <w:rsid w:val="00B77E08"/>
    <w:rsid w:val="00B95A3F"/>
    <w:rsid w:val="00BA3814"/>
    <w:rsid w:val="00BB3D87"/>
    <w:rsid w:val="00BE55A9"/>
    <w:rsid w:val="00BF15E3"/>
    <w:rsid w:val="00BF6F4F"/>
    <w:rsid w:val="00C15FF0"/>
    <w:rsid w:val="00C31D00"/>
    <w:rsid w:val="00C37F60"/>
    <w:rsid w:val="00C42358"/>
    <w:rsid w:val="00C4245C"/>
    <w:rsid w:val="00C95B21"/>
    <w:rsid w:val="00CC5DE8"/>
    <w:rsid w:val="00CD6E83"/>
    <w:rsid w:val="00CE2BEE"/>
    <w:rsid w:val="00D2225D"/>
    <w:rsid w:val="00D43998"/>
    <w:rsid w:val="00D554F2"/>
    <w:rsid w:val="00D701C3"/>
    <w:rsid w:val="00DA6AFD"/>
    <w:rsid w:val="00DA7F3F"/>
    <w:rsid w:val="00DC68BE"/>
    <w:rsid w:val="00DD2EF4"/>
    <w:rsid w:val="00E05736"/>
    <w:rsid w:val="00E1105C"/>
    <w:rsid w:val="00E149E8"/>
    <w:rsid w:val="00E31171"/>
    <w:rsid w:val="00E5071D"/>
    <w:rsid w:val="00E93F77"/>
    <w:rsid w:val="00EA1204"/>
    <w:rsid w:val="00EB0500"/>
    <w:rsid w:val="00EC4E3E"/>
    <w:rsid w:val="00ED2674"/>
    <w:rsid w:val="00F05584"/>
    <w:rsid w:val="00F13413"/>
    <w:rsid w:val="00F533BF"/>
    <w:rsid w:val="00F616DD"/>
    <w:rsid w:val="00F61E69"/>
    <w:rsid w:val="00F67692"/>
    <w:rsid w:val="00F93818"/>
    <w:rsid w:val="00FC4803"/>
    <w:rsid w:val="00FE1930"/>
    <w:rsid w:val="00FE4B42"/>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50434F"/>
  <w15:chartTrackingRefBased/>
  <w15:docId w15:val="{E7071F4E-6910-47C6-BF7F-8631EDFC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B6D"/>
    <w:pPr>
      <w:spacing w:after="0" w:line="240" w:lineRule="auto"/>
    </w:pPr>
    <w:rPr>
      <w:rFonts w:ascii="Calibri" w:eastAsia="Calibri" w:hAnsi="Calibri" w:cs="Times New Roman"/>
      <w:color w:val="000000"/>
      <w:szCs w:val="20"/>
      <w:lang w:val="ro-RO" w:bidi="en-US"/>
    </w:rPr>
  </w:style>
  <w:style w:type="paragraph" w:styleId="Heading1">
    <w:name w:val="heading 1"/>
    <w:basedOn w:val="Normal"/>
    <w:next w:val="Normal"/>
    <w:link w:val="Heading1Char"/>
    <w:uiPriority w:val="9"/>
    <w:qFormat/>
    <w:rsid w:val="001D67D9"/>
    <w:pPr>
      <w:keepNext/>
      <w:jc w:val="center"/>
      <w:outlineLvl w:val="0"/>
    </w:pPr>
    <w:rPr>
      <w:rFonts w:ascii="Georgia" w:hAnsi="Georgia"/>
      <w:b/>
      <w:color w:val="auto"/>
      <w:sz w:val="20"/>
    </w:rPr>
  </w:style>
  <w:style w:type="paragraph" w:styleId="Heading2">
    <w:name w:val="heading 2"/>
    <w:basedOn w:val="Normal"/>
    <w:next w:val="Normal"/>
    <w:link w:val="Heading2Char"/>
    <w:uiPriority w:val="9"/>
    <w:semiHidden/>
    <w:unhideWhenUsed/>
    <w:qFormat/>
    <w:rsid w:val="008B7B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7B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0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7B6D"/>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semiHidden/>
    <w:rsid w:val="008B7B6D"/>
    <w:rPr>
      <w:rFonts w:asciiTheme="majorHAnsi" w:eastAsiaTheme="majorEastAsia" w:hAnsiTheme="majorHAnsi" w:cstheme="majorBidi"/>
      <w:color w:val="1F3763" w:themeColor="accent1" w:themeShade="7F"/>
      <w:sz w:val="24"/>
      <w:szCs w:val="24"/>
      <w:lang w:bidi="en-US"/>
    </w:rPr>
  </w:style>
  <w:style w:type="paragraph" w:styleId="BodyText">
    <w:name w:val="Body Text"/>
    <w:basedOn w:val="Normal"/>
    <w:link w:val="BodyTextChar"/>
    <w:unhideWhenUsed/>
    <w:rsid w:val="008B7B6D"/>
    <w:pPr>
      <w:spacing w:after="120"/>
    </w:pPr>
  </w:style>
  <w:style w:type="character" w:customStyle="1" w:styleId="BodyTextChar">
    <w:name w:val="Body Text Char"/>
    <w:basedOn w:val="DefaultParagraphFont"/>
    <w:link w:val="BodyText"/>
    <w:rsid w:val="008B7B6D"/>
    <w:rPr>
      <w:rFonts w:ascii="Calibri" w:eastAsia="Calibri" w:hAnsi="Calibri" w:cs="Times New Roman"/>
      <w:color w:val="000000"/>
      <w:szCs w:val="20"/>
      <w:lang w:bidi="en-US"/>
    </w:rPr>
  </w:style>
  <w:style w:type="character" w:styleId="Strong">
    <w:name w:val="Strong"/>
    <w:qFormat/>
    <w:rsid w:val="008B7B6D"/>
    <w:rPr>
      <w:b/>
      <w:bCs/>
    </w:rPr>
  </w:style>
  <w:style w:type="table" w:styleId="TableGrid">
    <w:name w:val="Table Grid"/>
    <w:basedOn w:val="TableNormal"/>
    <w:uiPriority w:val="59"/>
    <w:rsid w:val="008B7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C3"/>
    <w:rPr>
      <w:rFonts w:ascii="Segoe UI" w:eastAsia="Calibri" w:hAnsi="Segoe UI" w:cs="Segoe UI"/>
      <w:color w:val="000000"/>
      <w:sz w:val="18"/>
      <w:szCs w:val="18"/>
      <w:lang w:bidi="en-US"/>
    </w:rPr>
  </w:style>
  <w:style w:type="paragraph" w:styleId="Footer">
    <w:name w:val="footer"/>
    <w:basedOn w:val="Normal"/>
    <w:link w:val="FooterChar"/>
    <w:rsid w:val="006A4BA3"/>
    <w:pPr>
      <w:tabs>
        <w:tab w:val="center" w:pos="4320"/>
        <w:tab w:val="right" w:pos="8640"/>
      </w:tabs>
    </w:pPr>
  </w:style>
  <w:style w:type="character" w:customStyle="1" w:styleId="FooterChar">
    <w:name w:val="Footer Char"/>
    <w:basedOn w:val="DefaultParagraphFont"/>
    <w:link w:val="Footer"/>
    <w:rsid w:val="006A4BA3"/>
    <w:rPr>
      <w:rFonts w:ascii="Calibri" w:eastAsia="Calibri" w:hAnsi="Calibri" w:cs="Times New Roman"/>
      <w:color w:val="000000"/>
      <w:szCs w:val="20"/>
      <w:lang w:bidi="en-US"/>
    </w:rPr>
  </w:style>
  <w:style w:type="character" w:customStyle="1" w:styleId="Style1">
    <w:name w:val="Style1"/>
    <w:rsid w:val="006A4BA3"/>
    <w:rPr>
      <w:lang w:val="ro-RO"/>
    </w:rPr>
  </w:style>
  <w:style w:type="paragraph" w:styleId="PlainText">
    <w:name w:val="Plain Text"/>
    <w:aliases w:val=" Char"/>
    <w:basedOn w:val="Normal"/>
    <w:link w:val="PlainTextChar"/>
    <w:rsid w:val="006A4BA3"/>
    <w:rPr>
      <w:rFonts w:ascii="Courier New" w:eastAsia="Times New Roman" w:hAnsi="Courier New"/>
      <w:color w:val="auto"/>
      <w:sz w:val="20"/>
      <w:lang w:val="x-none" w:eastAsia="x-none" w:bidi="ar-SA"/>
    </w:rPr>
  </w:style>
  <w:style w:type="character" w:customStyle="1" w:styleId="PlainTextChar">
    <w:name w:val="Plain Text Char"/>
    <w:aliases w:val=" Char Char"/>
    <w:basedOn w:val="DefaultParagraphFont"/>
    <w:link w:val="PlainText"/>
    <w:rsid w:val="006A4BA3"/>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0C24BA"/>
    <w:pPr>
      <w:spacing w:after="200" w:line="276" w:lineRule="auto"/>
      <w:ind w:left="720"/>
    </w:pPr>
    <w:rPr>
      <w:rFonts w:eastAsia="SimSun"/>
      <w:color w:val="auto"/>
      <w:szCs w:val="22"/>
      <w:lang w:eastAsia="zh-CN" w:bidi="ar-SA"/>
    </w:rPr>
  </w:style>
  <w:style w:type="character" w:customStyle="1" w:styleId="ListParagraphChar">
    <w:name w:val="List Paragraph Char"/>
    <w:link w:val="ListParagraph"/>
    <w:uiPriority w:val="72"/>
    <w:rsid w:val="000C24BA"/>
    <w:rPr>
      <w:rFonts w:ascii="Calibri" w:eastAsia="SimSun" w:hAnsi="Calibri" w:cs="Times New Roman"/>
      <w:lang w:eastAsia="zh-CN"/>
    </w:rPr>
  </w:style>
  <w:style w:type="paragraph" w:styleId="Header">
    <w:name w:val="header"/>
    <w:basedOn w:val="Normal"/>
    <w:link w:val="HeaderChar"/>
    <w:uiPriority w:val="99"/>
    <w:unhideWhenUsed/>
    <w:rsid w:val="00332140"/>
    <w:pPr>
      <w:tabs>
        <w:tab w:val="center" w:pos="4703"/>
        <w:tab w:val="right" w:pos="9406"/>
      </w:tabs>
    </w:pPr>
  </w:style>
  <w:style w:type="character" w:customStyle="1" w:styleId="HeaderChar">
    <w:name w:val="Header Char"/>
    <w:basedOn w:val="DefaultParagraphFont"/>
    <w:link w:val="Header"/>
    <w:uiPriority w:val="99"/>
    <w:rsid w:val="00332140"/>
    <w:rPr>
      <w:rFonts w:ascii="Calibri" w:eastAsia="Calibri" w:hAnsi="Calibri" w:cs="Times New Roman"/>
      <w:color w:val="000000"/>
      <w:szCs w:val="20"/>
      <w:lang w:bidi="en-US"/>
    </w:rPr>
  </w:style>
  <w:style w:type="character" w:customStyle="1" w:styleId="Heading1Char">
    <w:name w:val="Heading 1 Char"/>
    <w:basedOn w:val="DefaultParagraphFont"/>
    <w:link w:val="Heading1"/>
    <w:uiPriority w:val="9"/>
    <w:rsid w:val="001D67D9"/>
    <w:rPr>
      <w:rFonts w:ascii="Georgia" w:eastAsia="Calibri" w:hAnsi="Georgia" w:cs="Times New Roman"/>
      <w:b/>
      <w:sz w:val="20"/>
      <w:szCs w:val="20"/>
      <w:lang w:val="ro-RO" w:bidi="en-US"/>
    </w:rPr>
  </w:style>
  <w:style w:type="paragraph" w:customStyle="1" w:styleId="Normal1">
    <w:name w:val="Normal1"/>
    <w:basedOn w:val="Normal"/>
    <w:rsid w:val="00EA1204"/>
    <w:pPr>
      <w:spacing w:before="100" w:beforeAutospacing="1" w:after="100" w:afterAutospacing="1"/>
    </w:pPr>
    <w:rPr>
      <w:rFonts w:ascii="Times New Roman" w:eastAsia="Times New Roman" w:hAnsi="Times New Roman"/>
      <w:color w:val="auto"/>
      <w:sz w:val="24"/>
      <w:szCs w:val="24"/>
      <w:lang w:val="en-US" w:bidi="ar-SA"/>
    </w:rPr>
  </w:style>
  <w:style w:type="character" w:customStyle="1" w:styleId="Heading4Char">
    <w:name w:val="Heading 4 Char"/>
    <w:basedOn w:val="DefaultParagraphFont"/>
    <w:link w:val="Heading4"/>
    <w:uiPriority w:val="9"/>
    <w:semiHidden/>
    <w:rsid w:val="0042031B"/>
    <w:rPr>
      <w:rFonts w:asciiTheme="majorHAnsi" w:eastAsiaTheme="majorEastAsia" w:hAnsiTheme="majorHAnsi" w:cstheme="majorBidi"/>
      <w:i/>
      <w:iCs/>
      <w:color w:val="2F5496" w:themeColor="accent1" w:themeShade="BF"/>
      <w:szCs w:val="20"/>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9148">
      <w:bodyDiv w:val="1"/>
      <w:marLeft w:val="0"/>
      <w:marRight w:val="0"/>
      <w:marTop w:val="0"/>
      <w:marBottom w:val="0"/>
      <w:divBdr>
        <w:top w:val="none" w:sz="0" w:space="0" w:color="auto"/>
        <w:left w:val="none" w:sz="0" w:space="0" w:color="auto"/>
        <w:bottom w:val="none" w:sz="0" w:space="0" w:color="auto"/>
        <w:right w:val="none" w:sz="0" w:space="0" w:color="auto"/>
      </w:divBdr>
    </w:div>
    <w:div w:id="328750245">
      <w:bodyDiv w:val="1"/>
      <w:marLeft w:val="0"/>
      <w:marRight w:val="0"/>
      <w:marTop w:val="0"/>
      <w:marBottom w:val="0"/>
      <w:divBdr>
        <w:top w:val="none" w:sz="0" w:space="0" w:color="auto"/>
        <w:left w:val="none" w:sz="0" w:space="0" w:color="auto"/>
        <w:bottom w:val="none" w:sz="0" w:space="0" w:color="auto"/>
        <w:right w:val="none" w:sz="0" w:space="0" w:color="auto"/>
      </w:divBdr>
    </w:div>
    <w:div w:id="474375042">
      <w:bodyDiv w:val="1"/>
      <w:marLeft w:val="0"/>
      <w:marRight w:val="0"/>
      <w:marTop w:val="0"/>
      <w:marBottom w:val="0"/>
      <w:divBdr>
        <w:top w:val="none" w:sz="0" w:space="0" w:color="auto"/>
        <w:left w:val="none" w:sz="0" w:space="0" w:color="auto"/>
        <w:bottom w:val="none" w:sz="0" w:space="0" w:color="auto"/>
        <w:right w:val="none" w:sz="0" w:space="0" w:color="auto"/>
      </w:divBdr>
    </w:div>
    <w:div w:id="837231218">
      <w:bodyDiv w:val="1"/>
      <w:marLeft w:val="0"/>
      <w:marRight w:val="0"/>
      <w:marTop w:val="0"/>
      <w:marBottom w:val="0"/>
      <w:divBdr>
        <w:top w:val="none" w:sz="0" w:space="0" w:color="auto"/>
        <w:left w:val="none" w:sz="0" w:space="0" w:color="auto"/>
        <w:bottom w:val="none" w:sz="0" w:space="0" w:color="auto"/>
        <w:right w:val="none" w:sz="0" w:space="0" w:color="auto"/>
      </w:divBdr>
    </w:div>
    <w:div w:id="931664929">
      <w:bodyDiv w:val="1"/>
      <w:marLeft w:val="0"/>
      <w:marRight w:val="0"/>
      <w:marTop w:val="0"/>
      <w:marBottom w:val="0"/>
      <w:divBdr>
        <w:top w:val="none" w:sz="0" w:space="0" w:color="auto"/>
        <w:left w:val="none" w:sz="0" w:space="0" w:color="auto"/>
        <w:bottom w:val="none" w:sz="0" w:space="0" w:color="auto"/>
        <w:right w:val="none" w:sz="0" w:space="0" w:color="auto"/>
      </w:divBdr>
    </w:div>
    <w:div w:id="989407623">
      <w:bodyDiv w:val="1"/>
      <w:marLeft w:val="0"/>
      <w:marRight w:val="0"/>
      <w:marTop w:val="0"/>
      <w:marBottom w:val="0"/>
      <w:divBdr>
        <w:top w:val="none" w:sz="0" w:space="0" w:color="auto"/>
        <w:left w:val="none" w:sz="0" w:space="0" w:color="auto"/>
        <w:bottom w:val="none" w:sz="0" w:space="0" w:color="auto"/>
        <w:right w:val="none" w:sz="0" w:space="0" w:color="auto"/>
      </w:divBdr>
    </w:div>
    <w:div w:id="990905617">
      <w:bodyDiv w:val="1"/>
      <w:marLeft w:val="0"/>
      <w:marRight w:val="0"/>
      <w:marTop w:val="0"/>
      <w:marBottom w:val="0"/>
      <w:divBdr>
        <w:top w:val="none" w:sz="0" w:space="0" w:color="auto"/>
        <w:left w:val="none" w:sz="0" w:space="0" w:color="auto"/>
        <w:bottom w:val="none" w:sz="0" w:space="0" w:color="auto"/>
        <w:right w:val="none" w:sz="0" w:space="0" w:color="auto"/>
      </w:divBdr>
    </w:div>
    <w:div w:id="1203978337">
      <w:bodyDiv w:val="1"/>
      <w:marLeft w:val="0"/>
      <w:marRight w:val="0"/>
      <w:marTop w:val="0"/>
      <w:marBottom w:val="0"/>
      <w:divBdr>
        <w:top w:val="none" w:sz="0" w:space="0" w:color="auto"/>
        <w:left w:val="none" w:sz="0" w:space="0" w:color="auto"/>
        <w:bottom w:val="none" w:sz="0" w:space="0" w:color="auto"/>
        <w:right w:val="none" w:sz="0" w:space="0" w:color="auto"/>
      </w:divBdr>
    </w:div>
    <w:div w:id="1740976566">
      <w:bodyDiv w:val="1"/>
      <w:marLeft w:val="0"/>
      <w:marRight w:val="0"/>
      <w:marTop w:val="0"/>
      <w:marBottom w:val="0"/>
      <w:divBdr>
        <w:top w:val="none" w:sz="0" w:space="0" w:color="auto"/>
        <w:left w:val="none" w:sz="0" w:space="0" w:color="auto"/>
        <w:bottom w:val="none" w:sz="0" w:space="0" w:color="auto"/>
        <w:right w:val="none" w:sz="0" w:space="0" w:color="auto"/>
      </w:divBdr>
    </w:div>
    <w:div w:id="1918054141">
      <w:bodyDiv w:val="1"/>
      <w:marLeft w:val="0"/>
      <w:marRight w:val="0"/>
      <w:marTop w:val="0"/>
      <w:marBottom w:val="0"/>
      <w:divBdr>
        <w:top w:val="none" w:sz="0" w:space="0" w:color="auto"/>
        <w:left w:val="none" w:sz="0" w:space="0" w:color="auto"/>
        <w:bottom w:val="none" w:sz="0" w:space="0" w:color="auto"/>
        <w:right w:val="none" w:sz="0" w:space="0" w:color="auto"/>
      </w:divBdr>
    </w:div>
    <w:div w:id="21361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3724</Words>
  <Characters>21231</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Teodoru</dc:creator>
  <cp:keywords/>
  <dc:description/>
  <cp:lastModifiedBy>Cosmin Teodoru</cp:lastModifiedBy>
  <cp:revision>4</cp:revision>
  <cp:lastPrinted>2020-11-19T07:46:00Z</cp:lastPrinted>
  <dcterms:created xsi:type="dcterms:W3CDTF">2020-11-19T12:26:00Z</dcterms:created>
  <dcterms:modified xsi:type="dcterms:W3CDTF">2020-11-19T12:31:00Z</dcterms:modified>
</cp:coreProperties>
</file>