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7A6C" w14:textId="77777777" w:rsidR="00687135" w:rsidRPr="00E97F0A" w:rsidRDefault="00923481" w:rsidP="0017338F">
      <w:pPr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Direcția Generală Planul Național de Redresare și Reziliență</w:t>
      </w:r>
      <w:r w:rsidR="006B502F" w:rsidRPr="00E97F0A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</w:p>
    <w:p w14:paraId="097D6E8F" w14:textId="74BA4A11" w:rsidR="00687135" w:rsidRPr="00E97F0A" w:rsidRDefault="00687135" w:rsidP="00B72C2C">
      <w:pPr>
        <w:keepNext/>
        <w:spacing w:after="0" w:line="100" w:lineRule="atLeast"/>
        <w:ind w:left="-180" w:right="-193"/>
        <w:jc w:val="left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Hlk163727912"/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Nr. </w:t>
      </w:r>
      <w:proofErr w:type="spellStart"/>
      <w:r w:rsidRPr="00E97F0A">
        <w:rPr>
          <w:rFonts w:ascii="Times New Roman" w:eastAsia="Times New Roman" w:hAnsi="Times New Roman"/>
          <w:sz w:val="24"/>
          <w:szCs w:val="24"/>
          <w:lang w:val="ro-RO"/>
        </w:rPr>
        <w:t>înreg</w:t>
      </w:r>
      <w:proofErr w:type="spellEnd"/>
      <w:r w:rsidRPr="00E97F0A">
        <w:rPr>
          <w:rFonts w:ascii="Times New Roman" w:eastAsia="Times New Roman" w:hAnsi="Times New Roman"/>
          <w:sz w:val="24"/>
          <w:szCs w:val="24"/>
          <w:lang w:val="ro-RO"/>
        </w:rPr>
        <w:t xml:space="preserve">.:  </w:t>
      </w:r>
      <w:bookmarkStart w:id="1" w:name="_Hlk164423083"/>
      <w:r w:rsidR="004745C3" w:rsidRPr="004745C3">
        <w:rPr>
          <w:rFonts w:ascii="Times New Roman" w:eastAsia="Times New Roman" w:hAnsi="Times New Roman"/>
          <w:sz w:val="24"/>
          <w:szCs w:val="24"/>
          <w:lang w:val="ro-RO"/>
        </w:rPr>
        <w:t>DGPNRR/87617/11.04.2024</w:t>
      </w:r>
    </w:p>
    <w:bookmarkEnd w:id="0"/>
    <w:bookmarkEnd w:id="1"/>
    <w:p w14:paraId="2C0717F3" w14:textId="77777777" w:rsidR="00F75BF0" w:rsidRPr="00E97F0A" w:rsidRDefault="004C5596" w:rsidP="00740C15">
      <w:pPr>
        <w:keepNext/>
        <w:tabs>
          <w:tab w:val="center" w:pos="8280"/>
        </w:tabs>
        <w:spacing w:after="0" w:line="100" w:lineRule="atLeast"/>
        <w:ind w:left="-18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</w:t>
      </w:r>
      <w:r w:rsidR="009F5330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</w:t>
      </w:r>
      <w:r w:rsidR="00286082"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</w:t>
      </w: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p w14:paraId="735794CA" w14:textId="11D52F6A" w:rsidR="009A4BB3" w:rsidRPr="009A4BB3" w:rsidRDefault="009A4BB3" w:rsidP="00344F5E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3E8B0A26" w14:textId="77777777" w:rsidR="00CF00B6" w:rsidRPr="00E97F0A" w:rsidRDefault="00CF00B6" w:rsidP="00A36332">
      <w:pPr>
        <w:tabs>
          <w:tab w:val="left" w:pos="1276"/>
        </w:tabs>
        <w:spacing w:after="0" w:line="100" w:lineRule="atLeast"/>
        <w:ind w:left="0" w:right="-193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6A49E5" w14:textId="77777777" w:rsidR="009A4BB3" w:rsidRDefault="009A4BB3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77112D44" w14:textId="1E388C47" w:rsidR="00266407" w:rsidRDefault="00055C05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E97F0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REFERAT DE APROBARE </w:t>
      </w:r>
    </w:p>
    <w:p w14:paraId="20BF230C" w14:textId="77777777" w:rsidR="00CF00B6" w:rsidRDefault="00CF00B6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FB056AE" w14:textId="2F2A72C9" w:rsidR="0067333B" w:rsidRPr="00E97F0A" w:rsidRDefault="0067333B" w:rsidP="00B72C2C">
      <w:pPr>
        <w:keepNext/>
        <w:keepLines/>
        <w:tabs>
          <w:tab w:val="left" w:pos="0"/>
        </w:tabs>
        <w:spacing w:line="100" w:lineRule="atLeast"/>
        <w:ind w:left="-180" w:right="-193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ordinului privind </w:t>
      </w:r>
      <w:r w:rsidR="004745C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modificarea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75232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schemei de ajutor de Stat</w:t>
      </w:r>
      <w:r w:rsidR="00752325" w:rsidRPr="0075232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având ca obiectiv sprijinirea investițiilor destinate promovării producției de </w:t>
      </w:r>
      <w:r w:rsidR="004745C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biogaz</w:t>
      </w:r>
      <w:r w:rsidR="00752325" w:rsidRPr="00752325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pe bază de gunoi de grajd </w:t>
      </w:r>
    </w:p>
    <w:p w14:paraId="0AFA2A74" w14:textId="77777777" w:rsidR="00A36332" w:rsidRPr="00E97F0A" w:rsidRDefault="000B4258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ab/>
      </w:r>
    </w:p>
    <w:p w14:paraId="3A3B646E" w14:textId="77777777" w:rsidR="00A36332" w:rsidRPr="00E97F0A" w:rsidRDefault="00A36332" w:rsidP="00A36332">
      <w:pPr>
        <w:tabs>
          <w:tab w:val="left" w:pos="2981"/>
        </w:tabs>
        <w:spacing w:after="0" w:line="100" w:lineRule="atLeast"/>
        <w:ind w:left="-180" w:right="-193"/>
        <w:rPr>
          <w:rFonts w:ascii="Times New Roman" w:hAnsi="Times New Roman"/>
          <w:sz w:val="24"/>
          <w:szCs w:val="24"/>
          <w:lang w:val="ro-RO"/>
        </w:rPr>
      </w:pPr>
    </w:p>
    <w:p w14:paraId="1388A3F5" w14:textId="77777777" w:rsidR="007173CB" w:rsidRPr="00E97F0A" w:rsidRDefault="0024464F" w:rsidP="00247BDF">
      <w:pPr>
        <w:spacing w:line="100" w:lineRule="atLeast"/>
        <w:ind w:left="-180" w:right="-193" w:firstLine="888"/>
        <w:rPr>
          <w:rFonts w:ascii="Times New Roman" w:hAnsi="Times New Roman"/>
          <w:b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Ministerul Mediului, Apelor și Pădurilor gestionează, în calitate de coordonator de refor</w:t>
      </w:r>
      <w:r w:rsidR="00E45E58" w:rsidRPr="00E97F0A">
        <w:rPr>
          <w:rFonts w:ascii="Times New Roman" w:hAnsi="Times New Roman"/>
          <w:b/>
          <w:sz w:val="24"/>
          <w:szCs w:val="24"/>
          <w:lang w:val="ro-RO"/>
        </w:rPr>
        <w:t>me și/sau investiții pentru Planul Național de Redresare și Reziliență</w:t>
      </w:r>
      <w:r w:rsidR="00C60615" w:rsidRPr="00E97F0A">
        <w:rPr>
          <w:rFonts w:ascii="Times New Roman" w:hAnsi="Times New Roman"/>
          <w:b/>
          <w:sz w:val="24"/>
          <w:szCs w:val="24"/>
          <w:lang w:val="ro-RO"/>
        </w:rPr>
        <w:t xml:space="preserve"> (PNRR)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97F0A">
        <w:rPr>
          <w:rFonts w:ascii="Times New Roman" w:hAnsi="Times New Roman"/>
          <w:b/>
          <w:sz w:val="24"/>
          <w:szCs w:val="24"/>
          <w:lang w:val="ro-RO"/>
        </w:rPr>
        <w:t>următoarele componente:</w:t>
      </w:r>
    </w:p>
    <w:p w14:paraId="7C06B93B" w14:textId="77777777" w:rsidR="0024464F" w:rsidRPr="00E97F0A" w:rsidRDefault="009E1DAA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 1 -</w:t>
      </w:r>
      <w:r w:rsidR="0024464F" w:rsidRPr="00E97F0A">
        <w:rPr>
          <w:rFonts w:ascii="Times New Roman" w:hAnsi="Times New Roman"/>
          <w:sz w:val="24"/>
          <w:szCs w:val="24"/>
          <w:lang w:val="ro-RO"/>
        </w:rPr>
        <w:t xml:space="preserve"> Managementul apei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cu un buget de 1,462 miliarde de euro;</w:t>
      </w:r>
    </w:p>
    <w:p w14:paraId="28FCF45C" w14:textId="77777777" w:rsidR="0024464F" w:rsidRPr="00E97F0A" w:rsidRDefault="0024464F" w:rsidP="0024464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2 - Păduri și protecția biodiversității, cu un buget  de 1,173 miliarde euro;</w:t>
      </w:r>
    </w:p>
    <w:p w14:paraId="0B3744DE" w14:textId="77777777" w:rsidR="005757BF" w:rsidRPr="00E97F0A" w:rsidRDefault="009E1DAA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Componenta 3 - 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Managementul deșeurilor, cu un buget 1,239 miliarde de euro;</w:t>
      </w:r>
    </w:p>
    <w:p w14:paraId="6259AB26" w14:textId="77777777" w:rsidR="005757BF" w:rsidRPr="00E97F0A" w:rsidRDefault="00923481" w:rsidP="005757BF">
      <w:pPr>
        <w:numPr>
          <w:ilvl w:val="0"/>
          <w:numId w:val="14"/>
        </w:numPr>
        <w:spacing w:after="0" w:line="100" w:lineRule="atLeast"/>
        <w:ind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>Componenta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7 -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Transformarea digitală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>, Investiția 5 - Digitalizare în domeniul mediului</w:t>
      </w:r>
      <w:r w:rsidR="009E1DAA" w:rsidRPr="00E97F0A">
        <w:rPr>
          <w:rFonts w:ascii="Times New Roman" w:hAnsi="Times New Roman"/>
          <w:sz w:val="24"/>
          <w:szCs w:val="24"/>
          <w:lang w:val="ro-RO"/>
        </w:rPr>
        <w:t>.</w:t>
      </w:r>
    </w:p>
    <w:p w14:paraId="2507BAFB" w14:textId="77777777" w:rsidR="005757BF" w:rsidRPr="00E97F0A" w:rsidRDefault="005757BF" w:rsidP="005757BF">
      <w:pPr>
        <w:spacing w:after="0" w:line="100" w:lineRule="atLeast"/>
        <w:ind w:left="180" w:right="-193"/>
        <w:rPr>
          <w:rFonts w:ascii="Times New Roman" w:hAnsi="Times New Roman"/>
          <w:sz w:val="24"/>
          <w:szCs w:val="24"/>
          <w:lang w:val="ro-RO"/>
        </w:rPr>
      </w:pPr>
    </w:p>
    <w:p w14:paraId="349CF16C" w14:textId="77777777" w:rsidR="00DE3CCD" w:rsidRPr="00E97F0A" w:rsidRDefault="00055C05" w:rsidP="00A36332">
      <w:pPr>
        <w:spacing w:line="100" w:lineRule="atLeast"/>
        <w:ind w:left="-180" w:right="-193" w:firstLine="900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>Componenta 3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–</w:t>
      </w:r>
      <w:r w:rsidR="005757BF" w:rsidRPr="00E97F0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3CCD" w:rsidRPr="00E97F0A">
        <w:rPr>
          <w:rFonts w:ascii="Times New Roman" w:hAnsi="Times New Roman"/>
          <w:b/>
          <w:sz w:val="24"/>
          <w:szCs w:val="24"/>
          <w:lang w:val="ro-RO"/>
        </w:rPr>
        <w:t>Managementul deșeurilor</w:t>
      </w:r>
      <w:r w:rsidR="005757BF" w:rsidRPr="00E97F0A">
        <w:rPr>
          <w:rFonts w:ascii="Times New Roman" w:hAnsi="Times New Roman"/>
          <w:sz w:val="24"/>
          <w:szCs w:val="24"/>
          <w:lang w:val="ro-RO"/>
        </w:rPr>
        <w:t xml:space="preserve"> d</w:t>
      </w:r>
      <w:r w:rsidR="00EB2096" w:rsidRPr="00E97F0A">
        <w:rPr>
          <w:rFonts w:ascii="Times New Roman" w:hAnsi="Times New Roman"/>
          <w:sz w:val="24"/>
          <w:szCs w:val="24"/>
          <w:lang w:val="ro-RO"/>
        </w:rPr>
        <w:t>in cadrul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 Planului</w:t>
      </w:r>
      <w:r w:rsidR="00C60615" w:rsidRPr="00E97F0A">
        <w:rPr>
          <w:rFonts w:ascii="Times New Roman" w:hAnsi="Times New Roman"/>
          <w:sz w:val="24"/>
          <w:szCs w:val="24"/>
          <w:lang w:val="ro-RO"/>
        </w:rPr>
        <w:t xml:space="preserve"> Național de Redresare și R</w:t>
      </w:r>
      <w:r w:rsidR="00923481" w:rsidRPr="00E97F0A">
        <w:rPr>
          <w:rFonts w:ascii="Times New Roman" w:hAnsi="Times New Roman"/>
          <w:sz w:val="24"/>
          <w:szCs w:val="24"/>
          <w:lang w:val="ro-RO"/>
        </w:rPr>
        <w:t xml:space="preserve">eziliență </w:t>
      </w:r>
      <w:r w:rsidR="00E13613">
        <w:rPr>
          <w:rFonts w:ascii="Times New Roman" w:hAnsi="Times New Roman"/>
          <w:sz w:val="24"/>
          <w:szCs w:val="24"/>
          <w:lang w:val="ro-RO"/>
        </w:rPr>
        <w:t>face parte din Pilonul I. Tranziție verde.</w:t>
      </w:r>
    </w:p>
    <w:p w14:paraId="03E68598" w14:textId="77777777" w:rsidR="00DE3CCD" w:rsidRDefault="00DE3CCD" w:rsidP="00247BDF">
      <w:pPr>
        <w:spacing w:line="100" w:lineRule="atLeast"/>
        <w:ind w:left="-180" w:right="-193" w:firstLine="888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b/>
          <w:sz w:val="24"/>
          <w:szCs w:val="24"/>
          <w:lang w:val="ro-RO"/>
        </w:rPr>
        <w:t xml:space="preserve">Obiectivul </w:t>
      </w:r>
      <w:r w:rsidR="00E13613">
        <w:rPr>
          <w:rFonts w:ascii="Times New Roman" w:hAnsi="Times New Roman"/>
          <w:bCs/>
          <w:sz w:val="24"/>
          <w:szCs w:val="24"/>
          <w:lang w:val="ro-RO"/>
        </w:rPr>
        <w:t>acestei componente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13613">
        <w:rPr>
          <w:rFonts w:ascii="Times New Roman" w:hAnsi="Times New Roman"/>
          <w:sz w:val="24"/>
          <w:szCs w:val="24"/>
          <w:lang w:val="ro-RO"/>
        </w:rPr>
        <w:t>reprezintă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accele</w:t>
      </w:r>
      <w:r w:rsidR="00E13613">
        <w:rPr>
          <w:rFonts w:ascii="Times New Roman" w:hAnsi="Times New Roman"/>
          <w:sz w:val="24"/>
          <w:szCs w:val="24"/>
          <w:lang w:val="ro-RO"/>
        </w:rPr>
        <w:t>rarea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procesul</w:t>
      </w:r>
      <w:r w:rsidR="00E13613">
        <w:rPr>
          <w:rFonts w:ascii="Times New Roman" w:hAnsi="Times New Roman"/>
          <w:sz w:val="24"/>
          <w:szCs w:val="24"/>
          <w:lang w:val="ro-RO"/>
        </w:rPr>
        <w:t>ui</w:t>
      </w:r>
      <w:r w:rsidRPr="00E97F0A">
        <w:rPr>
          <w:rFonts w:ascii="Times New Roman" w:hAnsi="Times New Roman"/>
          <w:sz w:val="24"/>
          <w:szCs w:val="24"/>
          <w:lang w:val="ro-RO"/>
        </w:rPr>
        <w:t xml:space="preserve"> de extindere și modernizare a sistemelor de gestionare a deșeurilor în România cu accent pe colectarea separată, măsuri de prevenție, reducere, reutilizare și valorificare în vederea conformării cu legislația UE aplicabilă și trecerii la economia circulară.</w:t>
      </w:r>
    </w:p>
    <w:p w14:paraId="3D9FC507" w14:textId="77777777" w:rsidR="00E13613" w:rsidRDefault="00E13613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Managementul deșeurilor vizează îmbunătățirea</w:t>
      </w:r>
      <w:r w:rsidR="00270EC8">
        <w:rPr>
          <w:rFonts w:ascii="Times New Roman" w:hAnsi="Times New Roman"/>
          <w:bCs/>
          <w:sz w:val="24"/>
          <w:szCs w:val="24"/>
          <w:lang w:val="ro-RO"/>
        </w:rPr>
        <w:t xml:space="preserve"> implementării colectării separate, controlului și monitorizării parametrilor de calitate a mediului. Investițiile din cadrul Planului Național de Redresare și Reziliență în domeniul gestionării deșeurilor municipale contribuie cu 4.5% la ținta națională de atingere a ratei de 50% de reciclare și pregătire pentru reutilizare a deșeurilor municipale până în 2025, astfel cum este definită în Directiva – cadru privind deșeurile (Directiva 2008/98/CE modificată prin Directiva (UE) 2018/851). </w:t>
      </w:r>
    </w:p>
    <w:p w14:paraId="355668D9" w14:textId="77777777" w:rsidR="00270EC8" w:rsidRDefault="00270EC8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Această componentă cuprinde o reformă și 3 investiții. </w:t>
      </w:r>
    </w:p>
    <w:p w14:paraId="4F01155D" w14:textId="0F2484CC" w:rsidR="00F662D0" w:rsidRDefault="00F662D0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Obiectivul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Investiției 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CA7135" w:rsidRPr="00CA7135">
        <w:rPr>
          <w:rFonts w:ascii="Times New Roman" w:hAnsi="Times New Roman"/>
          <w:b/>
          <w:sz w:val="24"/>
          <w:szCs w:val="24"/>
          <w:lang w:val="ro-RO"/>
        </w:rPr>
        <w:t>Dezvoltarea infrastructurii pentru managementul gunoiului de grajd și al altor deșeuri agricole compostabile.</w:t>
      </w:r>
      <w:r w:rsidR="00CA713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este de a 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g</w:t>
      </w:r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estiona sustenabil </w:t>
      </w:r>
      <w:proofErr w:type="spellStart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>biodeșeuril</w:t>
      </w:r>
      <w:r w:rsidR="00CA7135">
        <w:rPr>
          <w:rFonts w:ascii="Times New Roman" w:hAnsi="Times New Roman"/>
          <w:bCs/>
          <w:sz w:val="24"/>
          <w:szCs w:val="24"/>
          <w:lang w:val="ro-RO"/>
        </w:rPr>
        <w:t>e</w:t>
      </w:r>
      <w:proofErr w:type="spellEnd"/>
      <w:r w:rsidR="00CA7135" w:rsidRPr="00CA7135">
        <w:rPr>
          <w:rFonts w:ascii="Times New Roman" w:hAnsi="Times New Roman"/>
          <w:bCs/>
          <w:sz w:val="24"/>
          <w:szCs w:val="24"/>
          <w:lang w:val="ro-RO"/>
        </w:rPr>
        <w:t xml:space="preserve"> agricole, în special a celor provenite din activitățile zootehnice, prin creșterea gradului de valorificare a acestora în vederea reducerii poluării cu nitrați și dezvoltarea infrastructurii pentru managementul gunoiului de grajd și al altor deșeuri agricole compostabile.</w:t>
      </w:r>
      <w:r w:rsidR="00E616B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14:paraId="779D6407" w14:textId="77777777" w:rsidR="00E616BD" w:rsidRPr="00E616BD" w:rsidRDefault="00E616BD" w:rsidP="00247BDF">
      <w:pPr>
        <w:spacing w:line="100" w:lineRule="atLeast"/>
        <w:ind w:left="-180" w:right="-193" w:firstLine="888"/>
        <w:rPr>
          <w:rFonts w:ascii="Times New Roman" w:hAnsi="Times New Roman"/>
          <w:bCs/>
          <w:sz w:val="24"/>
          <w:szCs w:val="24"/>
          <w:lang w:val="ro-RO"/>
        </w:rPr>
      </w:pPr>
      <w:r w:rsidRPr="00E22CEA">
        <w:rPr>
          <w:rFonts w:ascii="Times New Roman" w:hAnsi="Times New Roman"/>
          <w:b/>
          <w:sz w:val="24"/>
          <w:szCs w:val="24"/>
          <w:lang w:val="ro-RO"/>
        </w:rPr>
        <w:t>Obiectiv general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: Accelerarea procesului de extindere și modernizare a sistemelor de gestionare a deșeurilor în România cu accent pe colectarea separată, măsuri de prevenție, reducere, reutilizare și valorificare în vederea conformării cu directivele aplicabile și tranziției la economia circulară. </w:t>
      </w:r>
    </w:p>
    <w:p w14:paraId="3D50FE45" w14:textId="1B43E3CB" w:rsidR="00C153E7" w:rsidRPr="00E97F0A" w:rsidRDefault="00F544C4" w:rsidP="00F544C4">
      <w:pPr>
        <w:tabs>
          <w:tab w:val="left" w:pos="900"/>
        </w:tabs>
        <w:spacing w:line="100" w:lineRule="atLeast"/>
        <w:ind w:left="0" w:right="-193"/>
        <w:rPr>
          <w:rFonts w:ascii="Times New Roman" w:hAnsi="Times New Roman"/>
          <w:sz w:val="24"/>
          <w:szCs w:val="24"/>
          <w:lang w:val="ro-RO"/>
        </w:rPr>
      </w:pPr>
      <w:r w:rsidRPr="00E97F0A">
        <w:rPr>
          <w:rFonts w:ascii="Times New Roman" w:hAnsi="Times New Roman"/>
          <w:i/>
          <w:sz w:val="24"/>
          <w:szCs w:val="24"/>
          <w:lang w:val="ro-RO"/>
        </w:rPr>
        <w:tab/>
      </w:r>
      <w:r w:rsidRPr="00E97F0A">
        <w:rPr>
          <w:rFonts w:ascii="Times New Roman" w:hAnsi="Times New Roman"/>
          <w:sz w:val="24"/>
          <w:szCs w:val="24"/>
          <w:lang w:val="ro-RO"/>
        </w:rPr>
        <w:t>Implementarea acestei Investiții include, printre altele, și</w:t>
      </w:r>
      <w:r w:rsidR="00E97F0A">
        <w:rPr>
          <w:rFonts w:ascii="Times New Roman" w:hAnsi="Times New Roman"/>
          <w:sz w:val="24"/>
          <w:szCs w:val="24"/>
          <w:lang w:val="ro-RO"/>
        </w:rPr>
        <w:t xml:space="preserve"> înființarea</w:t>
      </w:r>
      <w:r w:rsidR="00CA7135">
        <w:rPr>
          <w:rFonts w:ascii="Times New Roman" w:hAnsi="Times New Roman"/>
          <w:sz w:val="24"/>
          <w:szCs w:val="24"/>
          <w:lang w:val="ro-RO"/>
        </w:rPr>
        <w:t xml:space="preserve"> de sisteme de </w:t>
      </w:r>
      <w:r w:rsidR="004745C3">
        <w:rPr>
          <w:rFonts w:ascii="Times New Roman" w:hAnsi="Times New Roman"/>
          <w:sz w:val="24"/>
          <w:szCs w:val="24"/>
          <w:lang w:val="ro-RO"/>
        </w:rPr>
        <w:t>biogaz</w:t>
      </w:r>
      <w:r w:rsidR="00671C11">
        <w:rPr>
          <w:rFonts w:ascii="Times New Roman" w:hAnsi="Times New Roman"/>
          <w:sz w:val="24"/>
          <w:szCs w:val="24"/>
          <w:lang w:val="ro-RO"/>
        </w:rPr>
        <w:t>,</w:t>
      </w:r>
      <w:r w:rsidR="00C153E7" w:rsidRPr="00E97F0A">
        <w:rPr>
          <w:rFonts w:ascii="Times New Roman" w:hAnsi="Times New Roman"/>
          <w:sz w:val="24"/>
          <w:szCs w:val="24"/>
          <w:lang w:val="ro-RO"/>
        </w:rPr>
        <w:t xml:space="preserve"> după cum urmează:</w:t>
      </w:r>
    </w:p>
    <w:p w14:paraId="5EDD35A8" w14:textId="2815BF28" w:rsidR="00CF00B6" w:rsidRPr="004745C3" w:rsidRDefault="00C153E7" w:rsidP="004745C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ro-RO"/>
        </w:rPr>
      </w:pPr>
      <w:r w:rsidRPr="004745C3">
        <w:rPr>
          <w:rFonts w:ascii="Times New Roman" w:hAnsi="Times New Roman"/>
          <w:sz w:val="24"/>
          <w:szCs w:val="24"/>
          <w:lang w:val="ro-RO"/>
        </w:rPr>
        <w:lastRenderedPageBreak/>
        <w:t xml:space="preserve">Ținta </w:t>
      </w:r>
      <w:r w:rsidR="00394CB9" w:rsidRPr="004745C3">
        <w:rPr>
          <w:rFonts w:ascii="Times New Roman" w:hAnsi="Times New Roman"/>
          <w:sz w:val="24"/>
          <w:szCs w:val="24"/>
          <w:lang w:val="ro-RO"/>
        </w:rPr>
        <w:t>5</w:t>
      </w:r>
      <w:r w:rsidR="007F4EE0" w:rsidRPr="004745C3">
        <w:rPr>
          <w:rFonts w:ascii="Times New Roman" w:hAnsi="Times New Roman"/>
          <w:sz w:val="24"/>
          <w:szCs w:val="24"/>
          <w:lang w:val="ro-RO"/>
        </w:rPr>
        <w:t>5</w:t>
      </w:r>
      <w:r w:rsidRPr="004745C3">
        <w:rPr>
          <w:rFonts w:ascii="Times New Roman" w:hAnsi="Times New Roman"/>
          <w:sz w:val="24"/>
          <w:szCs w:val="24"/>
          <w:lang w:val="ro-RO"/>
        </w:rPr>
        <w:t>:</w:t>
      </w:r>
      <w:r w:rsidR="000C52DE" w:rsidRPr="004745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F4EE0" w:rsidRPr="004745C3">
        <w:rPr>
          <w:rFonts w:ascii="Times New Roman" w:hAnsi="Times New Roman"/>
          <w:sz w:val="24"/>
          <w:szCs w:val="24"/>
          <w:lang w:val="ro-RO"/>
        </w:rPr>
        <w:t xml:space="preserve">5 sisteme de </w:t>
      </w:r>
      <w:r w:rsidR="004745C3" w:rsidRPr="004745C3">
        <w:rPr>
          <w:rFonts w:ascii="Times New Roman" w:hAnsi="Times New Roman"/>
          <w:sz w:val="24"/>
          <w:szCs w:val="24"/>
          <w:lang w:val="ro-RO"/>
        </w:rPr>
        <w:t>biogaz</w:t>
      </w:r>
      <w:r w:rsidR="007F4EE0" w:rsidRPr="004745C3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4745C3" w:rsidRPr="004745C3">
        <w:rPr>
          <w:rFonts w:ascii="Times New Roman" w:hAnsi="Times New Roman"/>
          <w:sz w:val="24"/>
          <w:szCs w:val="24"/>
          <w:lang w:val="ro-RO"/>
        </w:rPr>
        <w:t>ferme mari, cooperativelor agricole, parteneriatelor între acestea, parteneriatelor între ferme/cooperative agricole și unități administrativ-teritoriale (UAT), parteneriatelor între ferme (indiferent de dimensiune) și întreprinderi (altele decât ferme) sau parteneriatelor între ferme/cooperative agricole, UAT-uri și întreprinderi</w:t>
      </w:r>
      <w:r w:rsidR="00E86984" w:rsidRPr="004745C3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F4EE0" w:rsidRPr="004745C3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5327B3C" w14:textId="4FB16E1F" w:rsidR="002A71DB" w:rsidRPr="00E97F0A" w:rsidRDefault="006E5817" w:rsidP="00E86984">
      <w:pPr>
        <w:ind w:left="0" w:firstLine="708"/>
        <w:rPr>
          <w:rFonts w:ascii="Times New Roman" w:hAnsi="Times New Roman"/>
          <w:sz w:val="24"/>
          <w:szCs w:val="24"/>
          <w:lang w:val="ro-RO" w:eastAsia="en-US"/>
        </w:rPr>
      </w:pPr>
      <w:r w:rsidRPr="00E97F0A">
        <w:rPr>
          <w:rFonts w:ascii="Times New Roman" w:eastAsia="Calibri" w:hAnsi="Times New Roman"/>
          <w:b/>
          <w:sz w:val="24"/>
          <w:szCs w:val="24"/>
          <w:lang w:val="ro-RO"/>
        </w:rPr>
        <w:t xml:space="preserve">Alocarea financiară </w:t>
      </w:r>
      <w:r w:rsidR="00E45E58" w:rsidRPr="00E97F0A">
        <w:rPr>
          <w:rFonts w:ascii="Times New Roman" w:eastAsia="Calibri" w:hAnsi="Times New Roman"/>
          <w:sz w:val="24"/>
          <w:szCs w:val="24"/>
          <w:lang w:val="ro-RO"/>
        </w:rPr>
        <w:t>acordată prin Planul Național de Redresare și Reziliență</w:t>
      </w:r>
      <w:r w:rsidRPr="00E97F0A">
        <w:rPr>
          <w:rFonts w:ascii="Times New Roman" w:eastAsia="Calibri" w:hAnsi="Times New Roman"/>
          <w:sz w:val="24"/>
          <w:szCs w:val="24"/>
          <w:lang w:val="ro-RO"/>
        </w:rPr>
        <w:t xml:space="preserve"> pentru lucrările destinate 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înființării de </w:t>
      </w:r>
      <w:r w:rsidR="00E86984">
        <w:rPr>
          <w:rFonts w:ascii="Times New Roman" w:eastAsia="Calibri" w:hAnsi="Times New Roman"/>
          <w:sz w:val="24"/>
          <w:szCs w:val="24"/>
          <w:lang w:val="ro-RO"/>
        </w:rPr>
        <w:t xml:space="preserve">sisteme de </w:t>
      </w:r>
      <w:r w:rsidR="004745C3">
        <w:rPr>
          <w:rFonts w:ascii="Times New Roman" w:eastAsia="Calibri" w:hAnsi="Times New Roman"/>
          <w:sz w:val="24"/>
          <w:szCs w:val="24"/>
          <w:lang w:val="ro-RO"/>
        </w:rPr>
        <w:t xml:space="preserve">biogaz </w:t>
      </w:r>
      <w:r w:rsidR="00C52435">
        <w:rPr>
          <w:rFonts w:ascii="Times New Roman" w:eastAsia="Calibri" w:hAnsi="Times New Roman"/>
          <w:sz w:val="24"/>
          <w:szCs w:val="24"/>
          <w:lang w:val="ro-RO"/>
        </w:rPr>
        <w:t xml:space="preserve">în cadrul </w:t>
      </w:r>
      <w:r w:rsidR="00E86984">
        <w:rPr>
          <w:rFonts w:ascii="Times New Roman" w:eastAsia="Calibri" w:hAnsi="Times New Roman"/>
          <w:sz w:val="24"/>
          <w:szCs w:val="24"/>
          <w:lang w:val="ro-RO"/>
        </w:rPr>
        <w:t xml:space="preserve">schemei de ajutor de stat este </w:t>
      </w:r>
      <w:r w:rsidR="004745C3">
        <w:rPr>
          <w:rFonts w:ascii="Times New Roman" w:eastAsia="Calibri" w:hAnsi="Times New Roman"/>
          <w:sz w:val="24"/>
          <w:szCs w:val="24"/>
          <w:lang w:val="ro-RO"/>
        </w:rPr>
        <w:t xml:space="preserve">de 20.778.145 euro, echivalentul a 103.232.057,80 lei. </w:t>
      </w:r>
    </w:p>
    <w:p w14:paraId="0CAE958D" w14:textId="77777777" w:rsidR="009D64F3" w:rsidRPr="00E97F0A" w:rsidRDefault="009D64F3" w:rsidP="002A71DB">
      <w:pPr>
        <w:pStyle w:val="ListParagraph"/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ro-RO" w:eastAsia="en-US"/>
        </w:rPr>
      </w:pPr>
    </w:p>
    <w:p w14:paraId="20ABF327" w14:textId="3DEA3333" w:rsidR="00FB0BB6" w:rsidRDefault="008F24A4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>Astfel, pentru implementarea eficientă a activităților aferente investiției și pentru îndeplinirea obiectivelor generale și specifice ale acesteia, cu respectarea termenelor de i</w:t>
      </w:r>
      <w:r w:rsidR="00FB0BB6" w:rsidRPr="00707B82">
        <w:rPr>
          <w:rFonts w:ascii="Times New Roman" w:hAnsi="Times New Roman"/>
          <w:sz w:val="24"/>
          <w:szCs w:val="24"/>
          <w:u w:val="single"/>
          <w:lang w:val="ro-RO"/>
        </w:rPr>
        <w:t>mplementare aferente Ținte</w:t>
      </w:r>
      <w:r w:rsidR="00707B82">
        <w:rPr>
          <w:rFonts w:ascii="Times New Roman" w:hAnsi="Times New Roman"/>
          <w:sz w:val="24"/>
          <w:szCs w:val="24"/>
          <w:u w:val="single"/>
          <w:lang w:val="ro-RO"/>
        </w:rPr>
        <w:t>i 5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5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, se impune emiterea ordinului privind </w:t>
      </w:r>
      <w:r w:rsidR="007F4EE0">
        <w:rPr>
          <w:rFonts w:ascii="Times New Roman" w:hAnsi="Times New Roman"/>
          <w:sz w:val="24"/>
          <w:szCs w:val="24"/>
          <w:u w:val="single"/>
          <w:lang w:val="ro-RO"/>
        </w:rPr>
        <w:t>publicarea, pe site-ul MMAP, pentru parcurgerea procedurii de dezbatere publică a</w:t>
      </w:r>
      <w:r w:rsidRPr="00707B82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3806A8">
        <w:rPr>
          <w:rFonts w:ascii="Times New Roman" w:hAnsi="Times New Roman"/>
          <w:sz w:val="24"/>
          <w:szCs w:val="24"/>
          <w:u w:val="single"/>
          <w:lang w:val="ro-RO"/>
        </w:rPr>
        <w:t xml:space="preserve">schemei de ajutor de stat având ca obiect sprijinirea investițiilor destinate promovării producției de </w:t>
      </w:r>
      <w:r w:rsidR="004745C3">
        <w:rPr>
          <w:rFonts w:ascii="Times New Roman" w:hAnsi="Times New Roman"/>
          <w:sz w:val="24"/>
          <w:szCs w:val="24"/>
          <w:u w:val="single"/>
          <w:lang w:val="ro-RO"/>
        </w:rPr>
        <w:t>biogaz</w:t>
      </w:r>
      <w:r w:rsidR="003806A8">
        <w:rPr>
          <w:rFonts w:ascii="Times New Roman" w:hAnsi="Times New Roman"/>
          <w:sz w:val="24"/>
          <w:szCs w:val="24"/>
          <w:u w:val="single"/>
          <w:lang w:val="ro-RO"/>
        </w:rPr>
        <w:t xml:space="preserve"> pe bază de gunoi de grajd</w:t>
      </w:r>
      <w:r w:rsidR="007F4EE0">
        <w:rPr>
          <w:rFonts w:ascii="Times New Roman" w:hAnsi="Times New Roman"/>
          <w:caps/>
          <w:sz w:val="24"/>
          <w:szCs w:val="24"/>
          <w:u w:val="single"/>
          <w:lang w:val="ro-RO"/>
        </w:rPr>
        <w:t xml:space="preserve">. </w:t>
      </w:r>
    </w:p>
    <w:p w14:paraId="7F9BEA18" w14:textId="77777777" w:rsidR="00CF00B6" w:rsidRDefault="00CF00B6" w:rsidP="008F24A4">
      <w:pPr>
        <w:spacing w:after="0"/>
        <w:ind w:left="0" w:firstLine="708"/>
        <w:rPr>
          <w:rFonts w:ascii="Times New Roman" w:hAnsi="Times New Roman"/>
          <w:sz w:val="24"/>
          <w:szCs w:val="24"/>
          <w:u w:val="single"/>
          <w:lang w:val="ro-RO"/>
        </w:rPr>
      </w:pPr>
    </w:p>
    <w:p w14:paraId="1B708D23" w14:textId="2EB305A1" w:rsidR="00F66779" w:rsidRPr="004745C3" w:rsidRDefault="003806A8" w:rsidP="004745C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schema de ajutor de stat este asigurat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faptul că alocarea aferentă </w:t>
      </w:r>
      <w:r>
        <w:rPr>
          <w:rFonts w:ascii="Times New Roman" w:hAnsi="Times New Roman"/>
          <w:sz w:val="24"/>
          <w:szCs w:val="24"/>
          <w:lang w:val="ro-RO"/>
        </w:rPr>
        <w:t xml:space="preserve">țintei 55 (instalații de </w:t>
      </w:r>
      <w:r w:rsidR="004745C3">
        <w:rPr>
          <w:rFonts w:ascii="Times New Roman" w:hAnsi="Times New Roman"/>
          <w:sz w:val="24"/>
          <w:szCs w:val="24"/>
          <w:lang w:val="ro-RO"/>
        </w:rPr>
        <w:t>biogaz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="00F66779">
        <w:rPr>
          <w:rFonts w:ascii="Times New Roman" w:hAnsi="Times New Roman"/>
          <w:sz w:val="24"/>
          <w:szCs w:val="24"/>
          <w:lang w:val="ro-RO"/>
        </w:rPr>
        <w:t xml:space="preserve"> va fi utilizată pentru realizarea de investiții pentru înființarea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de sisteme de </w:t>
      </w:r>
      <w:r w:rsidR="004745C3">
        <w:rPr>
          <w:rFonts w:ascii="Times New Roman" w:hAnsi="Times New Roman"/>
          <w:sz w:val="24"/>
          <w:szCs w:val="24"/>
          <w:lang w:val="ro-RO"/>
        </w:rPr>
        <w:t>producere a biogazului</w:t>
      </w:r>
      <w:r w:rsidR="007F4EE0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4745C3" w:rsidRPr="004745C3">
        <w:rPr>
          <w:rFonts w:ascii="Times New Roman" w:hAnsi="Times New Roman"/>
          <w:sz w:val="24"/>
          <w:szCs w:val="24"/>
          <w:lang w:val="ro-RO"/>
        </w:rPr>
        <w:t>ferme mari, cooperativelor agricole, parteneriatelor între acestea, parteneriatelor între ferme/cooperative agricole și unități administrativ-teritoriale (UAT), parteneriatelor între ferme (indiferent de dimensiune) și întreprinderi (altele decât ferme) sau parteneriatelor între ferme/cooperative agricole, UAT-uri și întreprinderi</w:t>
      </w:r>
      <w:r w:rsidR="004745C3">
        <w:rPr>
          <w:rFonts w:ascii="Times New Roman" w:hAnsi="Times New Roman"/>
          <w:sz w:val="24"/>
          <w:szCs w:val="24"/>
          <w:lang w:val="ro-RO"/>
        </w:rPr>
        <w:t>,</w:t>
      </w:r>
      <w:r w:rsidRPr="004745C3">
        <w:rPr>
          <w:rFonts w:ascii="Times New Roman" w:hAnsi="Times New Roman"/>
          <w:sz w:val="24"/>
          <w:szCs w:val="24"/>
          <w:lang w:val="ro-RO"/>
        </w:rPr>
        <w:t xml:space="preserve"> cu</w:t>
      </w:r>
      <w:r w:rsidR="00F66779" w:rsidRPr="004745C3">
        <w:rPr>
          <w:rFonts w:ascii="Times New Roman" w:hAnsi="Times New Roman"/>
          <w:sz w:val="24"/>
          <w:szCs w:val="24"/>
          <w:lang w:val="ro-RO"/>
        </w:rPr>
        <w:t xml:space="preserve"> respec</w:t>
      </w:r>
      <w:r w:rsidRPr="004745C3">
        <w:rPr>
          <w:rFonts w:ascii="Times New Roman" w:hAnsi="Times New Roman"/>
          <w:sz w:val="24"/>
          <w:szCs w:val="24"/>
          <w:lang w:val="ro-RO"/>
        </w:rPr>
        <w:t>tarea</w:t>
      </w:r>
      <w:r w:rsidR="00F66779" w:rsidRPr="004745C3">
        <w:rPr>
          <w:rFonts w:ascii="Times New Roman" w:hAnsi="Times New Roman"/>
          <w:sz w:val="24"/>
          <w:szCs w:val="24"/>
          <w:lang w:val="ro-RO"/>
        </w:rPr>
        <w:t xml:space="preserve"> Comunic</w:t>
      </w:r>
      <w:r w:rsidRPr="004745C3">
        <w:rPr>
          <w:rFonts w:ascii="Times New Roman" w:hAnsi="Times New Roman"/>
          <w:sz w:val="24"/>
          <w:szCs w:val="24"/>
          <w:lang w:val="ro-RO"/>
        </w:rPr>
        <w:t>ării</w:t>
      </w:r>
      <w:r w:rsidR="00F66779" w:rsidRPr="004745C3">
        <w:rPr>
          <w:rFonts w:ascii="Times New Roman" w:hAnsi="Times New Roman"/>
          <w:sz w:val="24"/>
          <w:szCs w:val="24"/>
          <w:lang w:val="ro-RO"/>
        </w:rPr>
        <w:t xml:space="preserve"> Comisiei – Orientări tehnice privind aplicarea principiului „de a nu aduce prejudicii semnificative” în temeiul Regulamentului privind Mecanismul de redresare și reziliență (2021/C58/01). </w:t>
      </w:r>
    </w:p>
    <w:p w14:paraId="4C9075EB" w14:textId="77777777" w:rsidR="00471E14" w:rsidRDefault="00471E14" w:rsidP="008F24A4">
      <w:pPr>
        <w:spacing w:after="0"/>
        <w:ind w:left="0" w:firstLine="708"/>
        <w:rPr>
          <w:rFonts w:ascii="Times New Roman" w:hAnsi="Times New Roman"/>
          <w:sz w:val="24"/>
          <w:szCs w:val="24"/>
          <w:lang w:val="ro-RO"/>
        </w:rPr>
      </w:pPr>
    </w:p>
    <w:p w14:paraId="7D59A0D2" w14:textId="557EAD9F" w:rsidR="00471E14" w:rsidRDefault="004745C3" w:rsidP="008F24A4">
      <w:pPr>
        <w:spacing w:after="0"/>
        <w:ind w:left="0" w:firstLine="70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Prezenta modificare a ordinului derivă din modificarea legislației specifice PNRR în sensul diminuării sumei aferente mecanismului de supracontractare asigurat din bugetul de stat, de la 30% la 15% conform instrucțiunilor MIPE.  </w:t>
      </w:r>
    </w:p>
    <w:p w14:paraId="47E33947" w14:textId="0CE9833E" w:rsidR="00F66779" w:rsidRPr="00F66779" w:rsidRDefault="00F66779" w:rsidP="008F24A4">
      <w:pPr>
        <w:spacing w:after="0"/>
        <w:ind w:left="0" w:firstLine="708"/>
        <w:rPr>
          <w:rFonts w:ascii="Times New Roman" w:hAnsi="Times New Roman"/>
          <w:b/>
          <w:caps/>
          <w:sz w:val="24"/>
          <w:szCs w:val="24"/>
          <w:lang w:val="ro-RO"/>
        </w:rPr>
      </w:pPr>
    </w:p>
    <w:p w14:paraId="285966CB" w14:textId="67C2386B" w:rsidR="003E69A5" w:rsidRPr="009A4BB3" w:rsidRDefault="0033447D" w:rsidP="009A4BB3">
      <w:pPr>
        <w:spacing w:after="0"/>
        <w:ind w:left="0" w:firstLine="708"/>
        <w:rPr>
          <w:b/>
          <w:bCs/>
          <w:lang w:val="ro-RO"/>
        </w:rPr>
      </w:pPr>
      <w:r w:rsidRPr="00E97F0A">
        <w:rPr>
          <w:rFonts w:ascii="Times New Roman" w:hAnsi="Times New Roman"/>
          <w:sz w:val="24"/>
          <w:szCs w:val="24"/>
          <w:lang w:val="ro-RO"/>
        </w:rPr>
        <w:t xml:space="preserve">Având în vedere cele de mai sus, </w:t>
      </w:r>
      <w:r w:rsidR="00F66779">
        <w:rPr>
          <w:rFonts w:ascii="Times New Roman" w:hAnsi="Times New Roman"/>
          <w:sz w:val="24"/>
          <w:szCs w:val="24"/>
          <w:lang w:val="ro-RO"/>
        </w:rPr>
        <w:t>propunem spre aprobare</w:t>
      </w:r>
      <w:r w:rsidR="009A4BB3">
        <w:rPr>
          <w:rFonts w:ascii="Times New Roman" w:hAnsi="Times New Roman"/>
          <w:sz w:val="24"/>
          <w:szCs w:val="24"/>
          <w:lang w:val="ro-RO"/>
        </w:rPr>
        <w:t xml:space="preserve"> în vederea p</w:t>
      </w:r>
      <w:r w:rsidR="00471E14">
        <w:rPr>
          <w:rFonts w:ascii="Times New Roman" w:hAnsi="Times New Roman"/>
          <w:sz w:val="24"/>
          <w:szCs w:val="24"/>
          <w:lang w:val="ro-RO"/>
        </w:rPr>
        <w:t xml:space="preserve">ublicării </w:t>
      </w:r>
      <w:r w:rsidR="004745C3">
        <w:rPr>
          <w:rFonts w:ascii="Times New Roman" w:hAnsi="Times New Roman"/>
          <w:sz w:val="24"/>
          <w:szCs w:val="24"/>
          <w:lang w:val="ro-RO"/>
        </w:rPr>
        <w:t xml:space="preserve">pe site-ul Ministerului Mediului, Apelor și Pădurilor pentru parcurgerea etapei de consultare publică. </w:t>
      </w:r>
    </w:p>
    <w:p w14:paraId="2BEC51F2" w14:textId="77777777" w:rsidR="00BC61BC" w:rsidRPr="00E97F0A" w:rsidRDefault="00BC61BC" w:rsidP="001F5167">
      <w:pPr>
        <w:spacing w:after="0" w:line="100" w:lineRule="atLeast"/>
        <w:ind w:left="-180" w:right="-193"/>
        <w:jc w:val="center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p w14:paraId="7E2D8619" w14:textId="785D714B" w:rsidR="00D0442B" w:rsidRPr="00E97F0A" w:rsidRDefault="00D0442B" w:rsidP="001F5167">
      <w:pPr>
        <w:spacing w:after="0" w:line="240" w:lineRule="auto"/>
        <w:ind w:left="0" w:right="-193"/>
        <w:rPr>
          <w:rFonts w:ascii="Times New Roman" w:eastAsia="Times New Roman" w:hAnsi="Times New Roman"/>
          <w:kern w:val="0"/>
          <w:sz w:val="24"/>
          <w:szCs w:val="24"/>
          <w:lang w:val="ro-RO" w:eastAsia="en-US"/>
        </w:rPr>
      </w:pPr>
    </w:p>
    <w:sectPr w:rsidR="00D0442B" w:rsidRPr="00E97F0A" w:rsidSect="003F7F51">
      <w:headerReference w:type="default" r:id="rId7"/>
      <w:footerReference w:type="default" r:id="rId8"/>
      <w:pgSz w:w="11906" w:h="16838"/>
      <w:pgMar w:top="2348" w:right="849" w:bottom="810" w:left="1350" w:header="270" w:footer="49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DC08" w14:textId="77777777" w:rsidR="003F7F51" w:rsidRDefault="003F7F51">
      <w:pPr>
        <w:spacing w:after="0" w:line="240" w:lineRule="auto"/>
      </w:pPr>
      <w:r>
        <w:separator/>
      </w:r>
    </w:p>
  </w:endnote>
  <w:endnote w:type="continuationSeparator" w:id="0">
    <w:p w14:paraId="43225749" w14:textId="77777777" w:rsidR="003F7F51" w:rsidRDefault="003F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F411" w14:textId="77777777" w:rsidR="004D14D8" w:rsidRDefault="004D14D8">
    <w:pPr>
      <w:spacing w:after="0" w:line="100" w:lineRule="atLeast"/>
      <w:ind w:left="0"/>
      <w:jc w:val="center"/>
    </w:pPr>
    <w:r>
      <w:rPr>
        <w:sz w:val="16"/>
        <w:szCs w:val="16"/>
        <w:lang w:val="ro-RO"/>
      </w:rPr>
      <w:t xml:space="preserve">Adresa: B-dul </w:t>
    </w:r>
    <w:proofErr w:type="spellStart"/>
    <w:r>
      <w:rPr>
        <w:sz w:val="16"/>
        <w:szCs w:val="16"/>
        <w:lang w:val="ro-RO"/>
      </w:rPr>
      <w:t>Libertăţii</w:t>
    </w:r>
    <w:proofErr w:type="spellEnd"/>
    <w:r>
      <w:rPr>
        <w:sz w:val="16"/>
        <w:szCs w:val="16"/>
        <w:lang w:val="ro-RO"/>
      </w:rPr>
      <w:t xml:space="preserve"> nr. 12, Sector 5, </w:t>
    </w:r>
    <w:proofErr w:type="spellStart"/>
    <w:r>
      <w:rPr>
        <w:sz w:val="16"/>
        <w:szCs w:val="16"/>
        <w:lang w:val="ro-RO"/>
      </w:rPr>
      <w:t>Bucureşti</w:t>
    </w:r>
    <w:proofErr w:type="spellEnd"/>
    <w:r>
      <w:rPr>
        <w:sz w:val="16"/>
        <w:szCs w:val="16"/>
        <w:lang w:val="ro-RO"/>
      </w:rPr>
      <w:t>, Tel/ Fax: 004 021/408.96.</w:t>
    </w:r>
    <w:r w:rsidR="00B656B4">
      <w:rPr>
        <w:sz w:val="16"/>
        <w:szCs w:val="16"/>
        <w:lang w:val="ro-RO"/>
      </w:rPr>
      <w:t>09</w:t>
    </w:r>
    <w:r>
      <w:rPr>
        <w:sz w:val="16"/>
        <w:szCs w:val="16"/>
        <w:lang w:val="ro-RO"/>
      </w:rPr>
      <w:t xml:space="preserve"> Web: </w:t>
    </w:r>
    <w:hyperlink r:id="rId1" w:history="1">
      <w:r>
        <w:rPr>
          <w:rStyle w:val="Hyperlink"/>
          <w:sz w:val="16"/>
          <w:szCs w:val="16"/>
        </w:rPr>
        <w:t>www.mmediu.ro</w:t>
      </w:r>
    </w:hyperlink>
    <w:r>
      <w:rPr>
        <w:sz w:val="16"/>
        <w:szCs w:val="16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EEAA" w14:textId="77777777" w:rsidR="003F7F51" w:rsidRDefault="003F7F51">
      <w:pPr>
        <w:spacing w:after="0" w:line="240" w:lineRule="auto"/>
      </w:pPr>
      <w:r>
        <w:separator/>
      </w:r>
    </w:p>
  </w:footnote>
  <w:footnote w:type="continuationSeparator" w:id="0">
    <w:p w14:paraId="109427B1" w14:textId="77777777" w:rsidR="003F7F51" w:rsidRDefault="003F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22D0" w14:textId="2681B7B0" w:rsidR="0017338F" w:rsidRDefault="0094555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567BF685" wp14:editId="2A6602AF">
          <wp:simplePos x="0" y="0"/>
          <wp:positionH relativeFrom="column">
            <wp:posOffset>-304800</wp:posOffset>
          </wp:positionH>
          <wp:positionV relativeFrom="paragraph">
            <wp:posOffset>248285</wp:posOffset>
          </wp:positionV>
          <wp:extent cx="3236595" cy="899795"/>
          <wp:effectExtent l="0" t="0" r="0" b="0"/>
          <wp:wrapSquare wrapText="bothSides"/>
          <wp:docPr id="1" name="Picture 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2B6CE3" w14:textId="77777777" w:rsidR="004D14D8" w:rsidRDefault="004D14D8">
    <w:pPr>
      <w:pStyle w:val="Header"/>
      <w:tabs>
        <w:tab w:val="clear" w:pos="4320"/>
        <w:tab w:val="clear" w:pos="864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caps w:val="0"/>
        <w:smallCaps w:val="0"/>
        <w:dstrike/>
        <w:vanish w:val="0"/>
        <w:color w:val="000000"/>
        <w:kern w:val="1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color w:val="00000A"/>
        <w:sz w:val="22"/>
        <w:szCs w:val="22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647A4"/>
    <w:multiLevelType w:val="hybridMultilevel"/>
    <w:tmpl w:val="D3DC3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B65"/>
    <w:multiLevelType w:val="hybridMultilevel"/>
    <w:tmpl w:val="41D627B4"/>
    <w:lvl w:ilvl="0" w:tplc="20E65CAA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5F6C"/>
    <w:multiLevelType w:val="hybridMultilevel"/>
    <w:tmpl w:val="7F520F10"/>
    <w:lvl w:ilvl="0" w:tplc="D19849FA">
      <w:start w:val="1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D0503FC"/>
    <w:multiLevelType w:val="hybridMultilevel"/>
    <w:tmpl w:val="09462C86"/>
    <w:lvl w:ilvl="0" w:tplc="7E108BB4">
      <w:start w:val="1"/>
      <w:numFmt w:val="bullet"/>
      <w:lvlText w:val="-"/>
      <w:lvlJc w:val="left"/>
      <w:pPr>
        <w:ind w:left="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29C728F"/>
    <w:multiLevelType w:val="hybridMultilevel"/>
    <w:tmpl w:val="40682B14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44634"/>
    <w:multiLevelType w:val="hybridMultilevel"/>
    <w:tmpl w:val="939092C2"/>
    <w:lvl w:ilvl="0" w:tplc="CE842EF4">
      <w:start w:val="10"/>
      <w:numFmt w:val="bullet"/>
      <w:lvlText w:val="-"/>
      <w:lvlJc w:val="left"/>
      <w:pPr>
        <w:ind w:left="1080" w:hanging="360"/>
      </w:pPr>
      <w:rPr>
        <w:rFonts w:ascii="Trebuchet MS" w:eastAsia="MS Mincho" w:hAnsi="Trebuchet MS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FF294E"/>
    <w:multiLevelType w:val="hybridMultilevel"/>
    <w:tmpl w:val="E508F3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512"/>
    <w:multiLevelType w:val="hybridMultilevel"/>
    <w:tmpl w:val="81DEC2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1DA5"/>
    <w:multiLevelType w:val="hybridMultilevel"/>
    <w:tmpl w:val="B2EC9E8C"/>
    <w:lvl w:ilvl="0" w:tplc="5F385D10">
      <w:start w:val="1"/>
      <w:numFmt w:val="upperLetter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2D71"/>
    <w:multiLevelType w:val="hybridMultilevel"/>
    <w:tmpl w:val="5C8034E6"/>
    <w:lvl w:ilvl="0" w:tplc="1444F0B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5195"/>
    <w:multiLevelType w:val="hybridMultilevel"/>
    <w:tmpl w:val="C28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A6460"/>
    <w:multiLevelType w:val="hybridMultilevel"/>
    <w:tmpl w:val="2AF8F4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E2EDE"/>
    <w:multiLevelType w:val="hybridMultilevel"/>
    <w:tmpl w:val="B42A63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365B8"/>
    <w:multiLevelType w:val="hybridMultilevel"/>
    <w:tmpl w:val="999C75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4C42"/>
    <w:multiLevelType w:val="hybridMultilevel"/>
    <w:tmpl w:val="3390A4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22EF5"/>
    <w:multiLevelType w:val="hybridMultilevel"/>
    <w:tmpl w:val="8DBAABD2"/>
    <w:lvl w:ilvl="0" w:tplc="881E7F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2052"/>
    <w:multiLevelType w:val="hybridMultilevel"/>
    <w:tmpl w:val="D65AF66A"/>
    <w:lvl w:ilvl="0" w:tplc="A69E8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6C67552"/>
    <w:multiLevelType w:val="multilevel"/>
    <w:tmpl w:val="438A5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035FB"/>
    <w:multiLevelType w:val="hybridMultilevel"/>
    <w:tmpl w:val="9962CE38"/>
    <w:lvl w:ilvl="0" w:tplc="040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8B37648"/>
    <w:multiLevelType w:val="hybridMultilevel"/>
    <w:tmpl w:val="CD6E95EA"/>
    <w:lvl w:ilvl="0" w:tplc="D1C29036">
      <w:start w:val="1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4DC"/>
    <w:multiLevelType w:val="hybridMultilevel"/>
    <w:tmpl w:val="6E3EB5B8"/>
    <w:lvl w:ilvl="0" w:tplc="A8649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A3C4E"/>
    <w:multiLevelType w:val="multilevel"/>
    <w:tmpl w:val="498ABE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A35E13"/>
    <w:multiLevelType w:val="hybridMultilevel"/>
    <w:tmpl w:val="A65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41607">
    <w:abstractNumId w:val="0"/>
  </w:num>
  <w:num w:numId="2" w16cid:durableId="1011296786">
    <w:abstractNumId w:val="17"/>
  </w:num>
  <w:num w:numId="3" w16cid:durableId="675305887">
    <w:abstractNumId w:val="6"/>
  </w:num>
  <w:num w:numId="4" w16cid:durableId="1697729869">
    <w:abstractNumId w:val="16"/>
  </w:num>
  <w:num w:numId="5" w16cid:durableId="981882523">
    <w:abstractNumId w:val="15"/>
  </w:num>
  <w:num w:numId="6" w16cid:durableId="1088505449">
    <w:abstractNumId w:val="5"/>
  </w:num>
  <w:num w:numId="7" w16cid:durableId="2056615970">
    <w:abstractNumId w:val="10"/>
  </w:num>
  <w:num w:numId="8" w16cid:durableId="300034950">
    <w:abstractNumId w:val="9"/>
  </w:num>
  <w:num w:numId="9" w16cid:durableId="1795784025">
    <w:abstractNumId w:val="7"/>
  </w:num>
  <w:num w:numId="10" w16cid:durableId="517542236">
    <w:abstractNumId w:val="20"/>
  </w:num>
  <w:num w:numId="11" w16cid:durableId="825245280">
    <w:abstractNumId w:val="2"/>
  </w:num>
  <w:num w:numId="12" w16cid:durableId="691537262">
    <w:abstractNumId w:val="1"/>
  </w:num>
  <w:num w:numId="13" w16cid:durableId="1857117480">
    <w:abstractNumId w:val="19"/>
  </w:num>
  <w:num w:numId="14" w16cid:durableId="82575663">
    <w:abstractNumId w:val="3"/>
  </w:num>
  <w:num w:numId="15" w16cid:durableId="676810698">
    <w:abstractNumId w:val="4"/>
  </w:num>
  <w:num w:numId="16" w16cid:durableId="792479215">
    <w:abstractNumId w:val="21"/>
  </w:num>
  <w:num w:numId="17" w16cid:durableId="490146737">
    <w:abstractNumId w:val="13"/>
  </w:num>
  <w:num w:numId="18" w16cid:durableId="847330720">
    <w:abstractNumId w:val="14"/>
  </w:num>
  <w:num w:numId="19" w16cid:durableId="1883512735">
    <w:abstractNumId w:val="11"/>
  </w:num>
  <w:num w:numId="20" w16cid:durableId="1035933613">
    <w:abstractNumId w:val="8"/>
  </w:num>
  <w:num w:numId="21" w16cid:durableId="56784486">
    <w:abstractNumId w:val="22"/>
  </w:num>
  <w:num w:numId="22" w16cid:durableId="2108034188">
    <w:abstractNumId w:val="18"/>
  </w:num>
  <w:num w:numId="23" w16cid:durableId="58524366">
    <w:abstractNumId w:val="12"/>
  </w:num>
  <w:num w:numId="24" w16cid:durableId="13040017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CC"/>
    <w:rsid w:val="0002580F"/>
    <w:rsid w:val="0003589D"/>
    <w:rsid w:val="00045019"/>
    <w:rsid w:val="00055C05"/>
    <w:rsid w:val="00073E65"/>
    <w:rsid w:val="00073F3A"/>
    <w:rsid w:val="0008170F"/>
    <w:rsid w:val="00091C40"/>
    <w:rsid w:val="000A6679"/>
    <w:rsid w:val="000B4258"/>
    <w:rsid w:val="000C3303"/>
    <w:rsid w:val="000C52DE"/>
    <w:rsid w:val="000C60E0"/>
    <w:rsid w:val="000C639B"/>
    <w:rsid w:val="000D6EA7"/>
    <w:rsid w:val="000E3C69"/>
    <w:rsid w:val="00104260"/>
    <w:rsid w:val="00111B61"/>
    <w:rsid w:val="00116041"/>
    <w:rsid w:val="00116498"/>
    <w:rsid w:val="001209FC"/>
    <w:rsid w:val="00122F77"/>
    <w:rsid w:val="00123803"/>
    <w:rsid w:val="0014073F"/>
    <w:rsid w:val="00154301"/>
    <w:rsid w:val="001614FA"/>
    <w:rsid w:val="00166BC9"/>
    <w:rsid w:val="00171DC9"/>
    <w:rsid w:val="00172147"/>
    <w:rsid w:val="0017338F"/>
    <w:rsid w:val="00173464"/>
    <w:rsid w:val="001857BE"/>
    <w:rsid w:val="00195873"/>
    <w:rsid w:val="001966FE"/>
    <w:rsid w:val="001A0F89"/>
    <w:rsid w:val="001A351E"/>
    <w:rsid w:val="001A3AE5"/>
    <w:rsid w:val="001A7FB3"/>
    <w:rsid w:val="001B034D"/>
    <w:rsid w:val="001B210D"/>
    <w:rsid w:val="001C11DC"/>
    <w:rsid w:val="001C5BC1"/>
    <w:rsid w:val="001C694E"/>
    <w:rsid w:val="001F5167"/>
    <w:rsid w:val="001F6690"/>
    <w:rsid w:val="001F6E41"/>
    <w:rsid w:val="002006E1"/>
    <w:rsid w:val="00212BD9"/>
    <w:rsid w:val="0024464F"/>
    <w:rsid w:val="00247BDF"/>
    <w:rsid w:val="0025442F"/>
    <w:rsid w:val="00266407"/>
    <w:rsid w:val="00270EC8"/>
    <w:rsid w:val="002766BB"/>
    <w:rsid w:val="00285E63"/>
    <w:rsid w:val="00286082"/>
    <w:rsid w:val="002903EC"/>
    <w:rsid w:val="002968E2"/>
    <w:rsid w:val="002A3C6B"/>
    <w:rsid w:val="002A71DB"/>
    <w:rsid w:val="002B00B0"/>
    <w:rsid w:val="002B73B4"/>
    <w:rsid w:val="002D5506"/>
    <w:rsid w:val="002D6247"/>
    <w:rsid w:val="002D71C9"/>
    <w:rsid w:val="002E5607"/>
    <w:rsid w:val="002E700E"/>
    <w:rsid w:val="002F1DAC"/>
    <w:rsid w:val="0030013A"/>
    <w:rsid w:val="00325135"/>
    <w:rsid w:val="00325456"/>
    <w:rsid w:val="003300E5"/>
    <w:rsid w:val="0033447D"/>
    <w:rsid w:val="003344F9"/>
    <w:rsid w:val="00344F5E"/>
    <w:rsid w:val="00351119"/>
    <w:rsid w:val="003806A8"/>
    <w:rsid w:val="003869CB"/>
    <w:rsid w:val="00394CB9"/>
    <w:rsid w:val="003A5024"/>
    <w:rsid w:val="003C5D9E"/>
    <w:rsid w:val="003D3425"/>
    <w:rsid w:val="003D575F"/>
    <w:rsid w:val="003E2AB6"/>
    <w:rsid w:val="003E69A5"/>
    <w:rsid w:val="003F1996"/>
    <w:rsid w:val="003F28F8"/>
    <w:rsid w:val="003F4157"/>
    <w:rsid w:val="003F5D55"/>
    <w:rsid w:val="003F7F51"/>
    <w:rsid w:val="004031E5"/>
    <w:rsid w:val="0041056F"/>
    <w:rsid w:val="00411AB1"/>
    <w:rsid w:val="00421CF5"/>
    <w:rsid w:val="0044079A"/>
    <w:rsid w:val="004478BD"/>
    <w:rsid w:val="00450E4C"/>
    <w:rsid w:val="00452590"/>
    <w:rsid w:val="00453E94"/>
    <w:rsid w:val="00454C91"/>
    <w:rsid w:val="00471E14"/>
    <w:rsid w:val="004740F3"/>
    <w:rsid w:val="004745C3"/>
    <w:rsid w:val="00476618"/>
    <w:rsid w:val="00480A0A"/>
    <w:rsid w:val="004922BF"/>
    <w:rsid w:val="004B01A8"/>
    <w:rsid w:val="004B4077"/>
    <w:rsid w:val="004B624D"/>
    <w:rsid w:val="004C5596"/>
    <w:rsid w:val="004C576C"/>
    <w:rsid w:val="004C693A"/>
    <w:rsid w:val="004D14D8"/>
    <w:rsid w:val="004D24B5"/>
    <w:rsid w:val="004E3837"/>
    <w:rsid w:val="00501C35"/>
    <w:rsid w:val="00505318"/>
    <w:rsid w:val="005076FA"/>
    <w:rsid w:val="00511908"/>
    <w:rsid w:val="0051661B"/>
    <w:rsid w:val="005340ED"/>
    <w:rsid w:val="00540B90"/>
    <w:rsid w:val="0057270F"/>
    <w:rsid w:val="005757BF"/>
    <w:rsid w:val="00594D86"/>
    <w:rsid w:val="005B4B14"/>
    <w:rsid w:val="005C6604"/>
    <w:rsid w:val="005D1F6B"/>
    <w:rsid w:val="005D620F"/>
    <w:rsid w:val="005E68C1"/>
    <w:rsid w:val="006057E2"/>
    <w:rsid w:val="00605CB0"/>
    <w:rsid w:val="00610BE3"/>
    <w:rsid w:val="00615642"/>
    <w:rsid w:val="00621354"/>
    <w:rsid w:val="00645B96"/>
    <w:rsid w:val="00656D03"/>
    <w:rsid w:val="00670206"/>
    <w:rsid w:val="00671C11"/>
    <w:rsid w:val="0067333B"/>
    <w:rsid w:val="00674C58"/>
    <w:rsid w:val="00687135"/>
    <w:rsid w:val="00695E10"/>
    <w:rsid w:val="006A42F8"/>
    <w:rsid w:val="006B00F3"/>
    <w:rsid w:val="006B502F"/>
    <w:rsid w:val="006C6A10"/>
    <w:rsid w:val="006D0EC1"/>
    <w:rsid w:val="006D5A39"/>
    <w:rsid w:val="006E1AE7"/>
    <w:rsid w:val="006E5817"/>
    <w:rsid w:val="00702AB0"/>
    <w:rsid w:val="00707B82"/>
    <w:rsid w:val="007173CB"/>
    <w:rsid w:val="007204EC"/>
    <w:rsid w:val="00721081"/>
    <w:rsid w:val="00722352"/>
    <w:rsid w:val="00723102"/>
    <w:rsid w:val="00726263"/>
    <w:rsid w:val="00730284"/>
    <w:rsid w:val="00740C15"/>
    <w:rsid w:val="00741DD5"/>
    <w:rsid w:val="00742E66"/>
    <w:rsid w:val="00746275"/>
    <w:rsid w:val="00752325"/>
    <w:rsid w:val="0075491F"/>
    <w:rsid w:val="007636DD"/>
    <w:rsid w:val="007D1273"/>
    <w:rsid w:val="007D29EB"/>
    <w:rsid w:val="007D4F62"/>
    <w:rsid w:val="007E1D4B"/>
    <w:rsid w:val="007F1C91"/>
    <w:rsid w:val="007F4EE0"/>
    <w:rsid w:val="00801FEE"/>
    <w:rsid w:val="00817E89"/>
    <w:rsid w:val="008243F0"/>
    <w:rsid w:val="008302B7"/>
    <w:rsid w:val="00836266"/>
    <w:rsid w:val="00847F2B"/>
    <w:rsid w:val="00852CEC"/>
    <w:rsid w:val="00873D77"/>
    <w:rsid w:val="00877E76"/>
    <w:rsid w:val="008845B4"/>
    <w:rsid w:val="008A2B57"/>
    <w:rsid w:val="008B4134"/>
    <w:rsid w:val="008B6789"/>
    <w:rsid w:val="008C347F"/>
    <w:rsid w:val="008D075F"/>
    <w:rsid w:val="008E682A"/>
    <w:rsid w:val="008E7A17"/>
    <w:rsid w:val="008F24A4"/>
    <w:rsid w:val="00902FBE"/>
    <w:rsid w:val="009038E6"/>
    <w:rsid w:val="0090397B"/>
    <w:rsid w:val="009046F9"/>
    <w:rsid w:val="00913622"/>
    <w:rsid w:val="00917C6C"/>
    <w:rsid w:val="00923481"/>
    <w:rsid w:val="00924571"/>
    <w:rsid w:val="009375FA"/>
    <w:rsid w:val="00937A66"/>
    <w:rsid w:val="00940BCA"/>
    <w:rsid w:val="00944E2F"/>
    <w:rsid w:val="00945556"/>
    <w:rsid w:val="00945D18"/>
    <w:rsid w:val="00972B42"/>
    <w:rsid w:val="009A1C6F"/>
    <w:rsid w:val="009A4000"/>
    <w:rsid w:val="009A4BB3"/>
    <w:rsid w:val="009B66EE"/>
    <w:rsid w:val="009C1DF1"/>
    <w:rsid w:val="009D64F3"/>
    <w:rsid w:val="009D6EAE"/>
    <w:rsid w:val="009D7DB0"/>
    <w:rsid w:val="009E1DAA"/>
    <w:rsid w:val="009E477C"/>
    <w:rsid w:val="009F0D58"/>
    <w:rsid w:val="009F5330"/>
    <w:rsid w:val="00A06CE2"/>
    <w:rsid w:val="00A220FC"/>
    <w:rsid w:val="00A36332"/>
    <w:rsid w:val="00A43A45"/>
    <w:rsid w:val="00A45D4A"/>
    <w:rsid w:val="00A5020F"/>
    <w:rsid w:val="00A64A48"/>
    <w:rsid w:val="00A722A3"/>
    <w:rsid w:val="00A803C2"/>
    <w:rsid w:val="00A8411A"/>
    <w:rsid w:val="00A90176"/>
    <w:rsid w:val="00A90C8A"/>
    <w:rsid w:val="00AA3EFC"/>
    <w:rsid w:val="00AD2AE5"/>
    <w:rsid w:val="00AE11ED"/>
    <w:rsid w:val="00AE1582"/>
    <w:rsid w:val="00AF4B5F"/>
    <w:rsid w:val="00AF76E0"/>
    <w:rsid w:val="00B311E3"/>
    <w:rsid w:val="00B32E59"/>
    <w:rsid w:val="00B56EDB"/>
    <w:rsid w:val="00B656B4"/>
    <w:rsid w:val="00B7262C"/>
    <w:rsid w:val="00B72C2C"/>
    <w:rsid w:val="00B82CD7"/>
    <w:rsid w:val="00B85F49"/>
    <w:rsid w:val="00B92303"/>
    <w:rsid w:val="00BA3A29"/>
    <w:rsid w:val="00BA4B97"/>
    <w:rsid w:val="00BC61BC"/>
    <w:rsid w:val="00BD03E0"/>
    <w:rsid w:val="00BD0FAC"/>
    <w:rsid w:val="00C01BC9"/>
    <w:rsid w:val="00C06B9A"/>
    <w:rsid w:val="00C153E7"/>
    <w:rsid w:val="00C15536"/>
    <w:rsid w:val="00C2158C"/>
    <w:rsid w:val="00C23F6B"/>
    <w:rsid w:val="00C252C7"/>
    <w:rsid w:val="00C3032B"/>
    <w:rsid w:val="00C50916"/>
    <w:rsid w:val="00C52435"/>
    <w:rsid w:val="00C562CE"/>
    <w:rsid w:val="00C60615"/>
    <w:rsid w:val="00C665EB"/>
    <w:rsid w:val="00C775C4"/>
    <w:rsid w:val="00C81602"/>
    <w:rsid w:val="00C9026D"/>
    <w:rsid w:val="00C95A6F"/>
    <w:rsid w:val="00CA53C9"/>
    <w:rsid w:val="00CA7135"/>
    <w:rsid w:val="00CB12F5"/>
    <w:rsid w:val="00CB1DE1"/>
    <w:rsid w:val="00CD2F33"/>
    <w:rsid w:val="00CD697E"/>
    <w:rsid w:val="00CE341A"/>
    <w:rsid w:val="00CF00B6"/>
    <w:rsid w:val="00CF2F91"/>
    <w:rsid w:val="00CF6C22"/>
    <w:rsid w:val="00D0427F"/>
    <w:rsid w:val="00D0442B"/>
    <w:rsid w:val="00D05CB2"/>
    <w:rsid w:val="00D05E6F"/>
    <w:rsid w:val="00D1125A"/>
    <w:rsid w:val="00D135DB"/>
    <w:rsid w:val="00D1622E"/>
    <w:rsid w:val="00D21185"/>
    <w:rsid w:val="00D549CC"/>
    <w:rsid w:val="00D606FC"/>
    <w:rsid w:val="00D60869"/>
    <w:rsid w:val="00D8294E"/>
    <w:rsid w:val="00D82EE4"/>
    <w:rsid w:val="00DA0EAA"/>
    <w:rsid w:val="00DA1342"/>
    <w:rsid w:val="00DB4B7F"/>
    <w:rsid w:val="00DC12C5"/>
    <w:rsid w:val="00DC5709"/>
    <w:rsid w:val="00DC66E3"/>
    <w:rsid w:val="00DE1B0C"/>
    <w:rsid w:val="00DE3CCD"/>
    <w:rsid w:val="00E019CB"/>
    <w:rsid w:val="00E13613"/>
    <w:rsid w:val="00E22CEA"/>
    <w:rsid w:val="00E36F14"/>
    <w:rsid w:val="00E41DCB"/>
    <w:rsid w:val="00E45E58"/>
    <w:rsid w:val="00E55497"/>
    <w:rsid w:val="00E616BD"/>
    <w:rsid w:val="00E71814"/>
    <w:rsid w:val="00E80753"/>
    <w:rsid w:val="00E86984"/>
    <w:rsid w:val="00E876C1"/>
    <w:rsid w:val="00E97F0A"/>
    <w:rsid w:val="00EA6963"/>
    <w:rsid w:val="00EB2096"/>
    <w:rsid w:val="00EB5EFE"/>
    <w:rsid w:val="00EE2EAE"/>
    <w:rsid w:val="00F0404A"/>
    <w:rsid w:val="00F1306D"/>
    <w:rsid w:val="00F3005F"/>
    <w:rsid w:val="00F3044A"/>
    <w:rsid w:val="00F36C42"/>
    <w:rsid w:val="00F544C4"/>
    <w:rsid w:val="00F662D0"/>
    <w:rsid w:val="00F66688"/>
    <w:rsid w:val="00F66779"/>
    <w:rsid w:val="00F724DA"/>
    <w:rsid w:val="00F75BF0"/>
    <w:rsid w:val="00F75DFE"/>
    <w:rsid w:val="00F8221E"/>
    <w:rsid w:val="00F91FD3"/>
    <w:rsid w:val="00FA5085"/>
    <w:rsid w:val="00FB0BB6"/>
    <w:rsid w:val="00FB0F2D"/>
    <w:rsid w:val="00FB35E3"/>
    <w:rsid w:val="00FC4BC4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7B1FC1"/>
  <w15:chartTrackingRefBased/>
  <w15:docId w15:val="{560AA0E0-0C03-4014-88AD-CD75D7B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157"/>
    <w:pPr>
      <w:suppressAutoHyphens/>
      <w:spacing w:after="120" w:line="276" w:lineRule="auto"/>
      <w:ind w:left="1701"/>
      <w:jc w:val="both"/>
    </w:pPr>
    <w:rPr>
      <w:rFonts w:ascii="Trebuchet MS" w:eastAsia="MS Mincho" w:hAnsi="Trebuchet MS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uiPriority w:val="9"/>
    <w:qFormat/>
    <w:pPr>
      <w:keepNext/>
      <w:numPr>
        <w:numId w:val="1"/>
      </w:numPr>
      <w:spacing w:before="240" w:after="240" w:line="100" w:lineRule="atLeast"/>
      <w:jc w:val="left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2">
    <w:name w:val="heading 2"/>
    <w:aliases w:val="Nadpis_2,AB,Numbered - 2,Sub Heading,ignorer2,Heading 2 Char1,Heading 2 Char Char"/>
    <w:basedOn w:val="Normal"/>
    <w:next w:val="BodyText"/>
    <w:uiPriority w:val="9"/>
    <w:qFormat/>
    <w:pPr>
      <w:keepNext/>
      <w:numPr>
        <w:ilvl w:val="1"/>
        <w:numId w:val="1"/>
      </w:numPr>
      <w:spacing w:before="120" w:line="100" w:lineRule="atLeast"/>
      <w:jc w:val="left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ing3">
    <w:name w:val="heading 3"/>
    <w:aliases w:val="Podpodkapitola,adpis 3,KopCat. 3,Numbered - 3"/>
    <w:basedOn w:val="Normal"/>
    <w:next w:val="BodyText"/>
    <w:qFormat/>
    <w:pPr>
      <w:keepNext/>
      <w:numPr>
        <w:ilvl w:val="2"/>
        <w:numId w:val="1"/>
      </w:numPr>
      <w:spacing w:before="120" w:line="100" w:lineRule="atLeast"/>
      <w:jc w:val="left"/>
      <w:outlineLvl w:val="2"/>
    </w:pPr>
    <w:rPr>
      <w:rFonts w:ascii="TimesRomanR" w:eastAsia="Times New Roman" w:hAnsi="TimesRomanR" w:cs="TimesRomanR"/>
      <w:b/>
      <w:bCs/>
      <w:szCs w:val="28"/>
      <w:lang w:val="en-GB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after="0" w:line="100" w:lineRule="atLeast"/>
      <w:jc w:val="left"/>
      <w:outlineLvl w:val="3"/>
    </w:pPr>
    <w:rPr>
      <w:rFonts w:ascii="Times New Roman" w:eastAsia="Times New Roman" w:hAnsi="Times New Roman"/>
      <w:b/>
      <w:bCs/>
      <w:sz w:val="24"/>
      <w:szCs w:val="20"/>
      <w:lang w:val="en-GB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after="0" w:line="100" w:lineRule="atLeast"/>
      <w:jc w:val="center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after="0" w:line="100" w:lineRule="atLeast"/>
      <w:jc w:val="center"/>
      <w:outlineLvl w:val="5"/>
    </w:pPr>
    <w:rPr>
      <w:rFonts w:ascii="TimesRomanR" w:eastAsia="Times New Roman" w:hAnsi="TimesRomanR" w:cs="TimesRomanR"/>
      <w:b/>
      <w:bCs/>
      <w:sz w:val="24"/>
      <w:szCs w:val="20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after="0" w:line="100" w:lineRule="atLeast"/>
      <w:outlineLvl w:val="6"/>
    </w:pPr>
    <w:rPr>
      <w:rFonts w:ascii="TimesRomanR" w:eastAsia="Times New Roman" w:hAnsi="TimesRomanR" w:cs="TimesRomanR"/>
      <w:b/>
      <w:bCs/>
      <w:sz w:val="24"/>
      <w:szCs w:val="20"/>
      <w:lang w:val="fr-FR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after="0" w:line="100" w:lineRule="atLeast"/>
      <w:jc w:val="left"/>
      <w:outlineLvl w:val="7"/>
    </w:pPr>
    <w:rPr>
      <w:rFonts w:ascii="Garamond" w:eastAsia="Times New Roman" w:hAnsi="Garamond" w:cs="Garamond"/>
      <w:i/>
      <w:iCs/>
      <w:sz w:val="24"/>
      <w:szCs w:val="28"/>
      <w:lang w:val="ro-RO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color w:val="00000A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erChar">
    <w:name w:val="Header Char"/>
    <w:rPr>
      <w:rFonts w:ascii="Trebuchet MS" w:eastAsia="MS Mincho" w:hAnsi="Trebuchet MS" w:cs="Times New Roman"/>
      <w:lang w:val="en-US"/>
    </w:rPr>
  </w:style>
  <w:style w:type="character" w:customStyle="1" w:styleId="FooterChar">
    <w:name w:val="Footer Char"/>
    <w:rPr>
      <w:rFonts w:ascii="Trebuchet MS" w:eastAsia="MS Mincho" w:hAnsi="Trebuchet MS" w:cs="Times New Roman"/>
      <w:lang w:val="en-US"/>
    </w:rPr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rPr>
      <w:rFonts w:ascii="TimesRomanR" w:eastAsia="Times New Roman" w:hAnsi="TimesRomanR" w:cs="Times New Roman"/>
      <w:b/>
      <w:bCs/>
      <w:szCs w:val="28"/>
      <w:lang w:val="en-GB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rPr>
      <w:rFonts w:ascii="TimesRomanR" w:eastAsia="Times New Roman" w:hAnsi="TimesRomanR" w:cs="Times New Roman"/>
      <w:b/>
      <w:bCs/>
      <w:sz w:val="24"/>
      <w:szCs w:val="20"/>
      <w:lang w:val="en-US"/>
    </w:rPr>
  </w:style>
  <w:style w:type="character" w:customStyle="1" w:styleId="Heading7Char">
    <w:name w:val="Heading 7 Char"/>
    <w:rPr>
      <w:rFonts w:ascii="TimesRomanR" w:eastAsia="Times New Roman" w:hAnsi="TimesRomanR" w:cs="Times New Roman"/>
      <w:b/>
      <w:bCs/>
      <w:sz w:val="24"/>
      <w:szCs w:val="20"/>
      <w:lang w:val="fr-FR"/>
    </w:rPr>
  </w:style>
  <w:style w:type="character" w:customStyle="1" w:styleId="Heading8Char">
    <w:name w:val="Heading 8 Char"/>
    <w:rPr>
      <w:rFonts w:ascii="Garamond" w:eastAsia="Times New Roman" w:hAnsi="Garamond" w:cs="Times New Roman"/>
      <w:i/>
      <w:iCs/>
      <w:sz w:val="24"/>
      <w:szCs w:val="28"/>
    </w:rPr>
  </w:style>
  <w:style w:type="character" w:customStyle="1" w:styleId="Heading9Char">
    <w:name w:val="Heading 9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Calibri"/>
    </w:rPr>
  </w:style>
  <w:style w:type="character" w:customStyle="1" w:styleId="ListLabel4">
    <w:name w:val="ListLabel 4"/>
    <w:rPr>
      <w:rFonts w:eastAsia="MS Mincho" w:cs="Times New Roman"/>
    </w:rPr>
  </w:style>
  <w:style w:type="character" w:customStyle="1" w:styleId="ListLabel5">
    <w:name w:val="ListLabel 5"/>
    <w:rPr>
      <w:rFonts w:cs="Symbol"/>
      <w:sz w:val="26"/>
      <w:szCs w:val="26"/>
      <w:lang w:val="ro-RO"/>
    </w:rPr>
  </w:style>
  <w:style w:type="character" w:customStyle="1" w:styleId="ListLabel6">
    <w:name w:val="ListLabel 6"/>
    <w:rPr>
      <w:b/>
      <w:i w:val="0"/>
      <w:caps w:val="0"/>
      <w:smallCaps w:val="0"/>
      <w:dstrike/>
      <w:vanish w:val="0"/>
      <w:color w:val="00000A"/>
      <w:kern w:val="1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rPr>
      <w:color w:val="00000A"/>
      <w:sz w:val="22"/>
      <w:szCs w:val="22"/>
    </w:rPr>
  </w:style>
  <w:style w:type="character" w:customStyle="1" w:styleId="ListLabel8">
    <w:name w:val="ListLabel 8"/>
    <w:rPr>
      <w:b/>
      <w:i w:val="0"/>
      <w:caps w:val="0"/>
      <w:smallCaps w:val="0"/>
      <w:dstrike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MediumGrid21">
    <w:name w:val="Medium Grid 21"/>
    <w:pPr>
      <w:suppressAutoHyphens/>
      <w:spacing w:line="100" w:lineRule="atLeast"/>
    </w:pPr>
    <w:rPr>
      <w:rFonts w:ascii="Trebuchet MS" w:eastAsia="MS Mincho" w:hAnsi="Trebuchet MS"/>
      <w:kern w:val="1"/>
      <w:sz w:val="18"/>
      <w:szCs w:val="18"/>
      <w:lang w:val="en-US" w:eastAsia="ar-SA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after="0" w:line="100" w:lineRule="atLeast"/>
      <w:ind w:left="0"/>
      <w:jc w:val="left"/>
    </w:pPr>
    <w:rPr>
      <w:rFonts w:ascii="Times New Roman" w:eastAsia="Times New Roman" w:hAnsi="Times New Roman"/>
      <w:sz w:val="20"/>
      <w:szCs w:val="20"/>
      <w:lang w:val="es-ES"/>
    </w:rPr>
  </w:style>
  <w:style w:type="paragraph" w:customStyle="1" w:styleId="chtitle">
    <w:name w:val="ch_title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hspec">
    <w:name w:val="ch_spec"/>
    <w:basedOn w:val="Normal"/>
    <w:pPr>
      <w:spacing w:before="28" w:after="100" w:line="100" w:lineRule="atLeast"/>
      <w:ind w:left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2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2303"/>
    <w:pPr>
      <w:autoSpaceDN w:val="0"/>
      <w:spacing w:before="100" w:after="100" w:line="240" w:lineRule="auto"/>
      <w:ind w:left="0"/>
      <w:jc w:val="left"/>
      <w:textAlignment w:val="baseline"/>
    </w:pPr>
    <w:rPr>
      <w:rFonts w:ascii="Times New Roman" w:eastAsia="Times New Roman" w:hAnsi="Times New Roman"/>
      <w:kern w:val="0"/>
      <w:sz w:val="24"/>
      <w:szCs w:val="24"/>
      <w:lang w:val="ro-RO" w:eastAsia="ro-RO"/>
    </w:rPr>
  </w:style>
  <w:style w:type="paragraph" w:customStyle="1" w:styleId="MediumGrid22">
    <w:name w:val="Medium Grid 22"/>
    <w:uiPriority w:val="1"/>
    <w:qFormat/>
    <w:rsid w:val="00453E94"/>
    <w:pPr>
      <w:suppressAutoHyphens/>
    </w:pPr>
    <w:rPr>
      <w:kern w:val="1"/>
      <w:sz w:val="24"/>
      <w:szCs w:val="24"/>
      <w:lang w:val="en-US" w:eastAsia="ar-SA"/>
    </w:rPr>
  </w:style>
  <w:style w:type="character" w:customStyle="1" w:styleId="HeaderChar1">
    <w:name w:val="Header Char1"/>
    <w:link w:val="Header"/>
    <w:uiPriority w:val="99"/>
    <w:rsid w:val="0017338F"/>
    <w:rPr>
      <w:rFonts w:ascii="Trebuchet MS" w:eastAsia="MS Mincho" w:hAnsi="Trebuchet MS"/>
      <w:kern w:val="1"/>
      <w:sz w:val="22"/>
      <w:szCs w:val="22"/>
      <w:lang w:eastAsia="ar-SA"/>
    </w:rPr>
  </w:style>
  <w:style w:type="paragraph" w:customStyle="1" w:styleId="Default">
    <w:name w:val="Default"/>
    <w:rsid w:val="00DE3CC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AD2AE5"/>
    <w:rPr>
      <w:rFonts w:ascii="Trebuchet MS" w:eastAsia="MS Mincho" w:hAnsi="Trebuchet MS"/>
      <w:kern w:val="1"/>
      <w:sz w:val="22"/>
      <w:szCs w:val="22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AE5"/>
    <w:pPr>
      <w:suppressAutoHyphens w:val="0"/>
      <w:spacing w:after="0" w:line="240" w:lineRule="auto"/>
      <w:ind w:left="0"/>
      <w:jc w:val="left"/>
    </w:pPr>
    <w:rPr>
      <w:rFonts w:eastAsia="Trebuchet MS" w:cs="Trebuchet MS"/>
      <w:kern w:val="0"/>
      <w:sz w:val="20"/>
      <w:szCs w:val="20"/>
      <w:lang w:val="ro-RO" w:eastAsia="ro-RO"/>
    </w:rPr>
  </w:style>
  <w:style w:type="character" w:customStyle="1" w:styleId="FootnoteTextChar">
    <w:name w:val="Footnote Text Char"/>
    <w:link w:val="FootnoteText"/>
    <w:uiPriority w:val="99"/>
    <w:semiHidden/>
    <w:rsid w:val="00AD2AE5"/>
    <w:rPr>
      <w:rFonts w:ascii="Trebuchet MS" w:eastAsia="Trebuchet MS" w:hAnsi="Trebuchet MS" w:cs="Trebuchet MS"/>
      <w:lang w:val="ro-RO" w:eastAsia="ro-RO"/>
    </w:rPr>
  </w:style>
  <w:style w:type="character" w:styleId="FootnoteReference">
    <w:name w:val="footnote reference"/>
    <w:uiPriority w:val="99"/>
    <w:semiHidden/>
    <w:unhideWhenUsed/>
    <w:rsid w:val="00AD2AE5"/>
    <w:rPr>
      <w:vertAlign w:val="superscript"/>
    </w:rPr>
  </w:style>
  <w:style w:type="paragraph" w:styleId="NoSpacing">
    <w:name w:val="No Spacing"/>
    <w:uiPriority w:val="1"/>
    <w:qFormat/>
    <w:rsid w:val="00CB1DE1"/>
    <w:rPr>
      <w:rFonts w:ascii="Calibri" w:eastAsia="Trebuchet MS" w:hAnsi="Calibri" w:cs="Trebuchet MS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4A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F24A4"/>
    <w:rPr>
      <w:rFonts w:ascii="Trebuchet MS" w:eastAsia="MS Mincho" w:hAnsi="Trebuchet MS"/>
      <w:kern w:val="1"/>
      <w:lang w:eastAsia="ar-SA"/>
    </w:rPr>
  </w:style>
  <w:style w:type="character" w:styleId="EndnoteReference">
    <w:name w:val="endnote reference"/>
    <w:uiPriority w:val="99"/>
    <w:semiHidden/>
    <w:unhideWhenUsed/>
    <w:rsid w:val="008F2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Tinta</dc:creator>
  <cp:keywords/>
  <cp:lastModifiedBy>Adrian STEFANESCU</cp:lastModifiedBy>
  <cp:revision>2</cp:revision>
  <cp:lastPrinted>2024-03-12T07:42:00Z</cp:lastPrinted>
  <dcterms:created xsi:type="dcterms:W3CDTF">2024-04-19T09:44:00Z</dcterms:created>
  <dcterms:modified xsi:type="dcterms:W3CDTF">2024-04-19T09:44:00Z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