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ind w:left="1440" w:hanging="1440"/>
        <w:jc w:val="center"/>
        <w:rPr>
          <w:rFonts w:ascii="Times New Roman" w:eastAsia="Calibri" w:hAnsi="Times New Roman"/>
          <w:b/>
          <w:sz w:val="26"/>
          <w:szCs w:val="26"/>
        </w:rPr>
      </w:pPr>
    </w:p>
    <w:p>
      <w:pPr>
        <w:spacing w:after="0"/>
        <w:ind w:left="1440" w:hanging="1440"/>
        <w:rPr>
          <w:rFonts w:ascii="Times New Roman" w:eastAsia="Calibri" w:hAnsi="Times New Roman"/>
          <w:sz w:val="26"/>
          <w:szCs w:val="26"/>
        </w:rPr>
      </w:pPr>
      <w:r>
        <w:rPr>
          <w:rFonts w:ascii="Times New Roman" w:eastAsia="Calibri" w:hAnsi="Times New Roman"/>
          <w:sz w:val="26"/>
          <w:szCs w:val="26"/>
        </w:rPr>
        <w:t>Nr. ........../.....................2020</w:t>
      </w:r>
    </w:p>
    <w:p>
      <w:pPr>
        <w:spacing w:after="0"/>
        <w:rPr>
          <w:rFonts w:ascii="Times New Roman" w:eastAsia="Calibri" w:hAnsi="Times New Roman"/>
          <w:b/>
          <w:sz w:val="26"/>
          <w:szCs w:val="26"/>
        </w:rPr>
      </w:pPr>
    </w:p>
    <w:p>
      <w:pPr>
        <w:spacing w:after="0"/>
        <w:ind w:left="1440" w:hanging="1440"/>
        <w:jc w:val="center"/>
        <w:rPr>
          <w:rFonts w:ascii="Times New Roman" w:eastAsia="Calibri" w:hAnsi="Times New Roman"/>
          <w:b/>
          <w:sz w:val="26"/>
          <w:szCs w:val="26"/>
        </w:rPr>
      </w:pPr>
      <w:r>
        <w:rPr>
          <w:rFonts w:ascii="Times New Roman" w:eastAsia="Calibri" w:hAnsi="Times New Roman"/>
          <w:b/>
          <w:sz w:val="26"/>
          <w:szCs w:val="26"/>
        </w:rPr>
        <w:t xml:space="preserve">REFERAT DE APROBARE </w:t>
      </w:r>
    </w:p>
    <w:p>
      <w:pPr>
        <w:spacing w:after="0" w:line="240" w:lineRule="auto"/>
        <w:ind w:firstLine="720"/>
        <w:jc w:val="center"/>
        <w:rPr>
          <w:rFonts w:ascii="Times New Roman" w:hAnsi="Times New Roman"/>
          <w:b/>
          <w:bCs/>
          <w:sz w:val="26"/>
          <w:szCs w:val="26"/>
          <w:lang w:val="en-US" w:eastAsia="ro-RO"/>
        </w:rPr>
      </w:pPr>
      <w:r>
        <w:rPr>
          <w:rFonts w:ascii="Times New Roman" w:hAnsi="Times New Roman"/>
          <w:b/>
          <w:bCs/>
          <w:sz w:val="26"/>
          <w:szCs w:val="26"/>
          <w:lang w:val="en-US" w:eastAsia="ro-RO"/>
        </w:rPr>
        <w:t>a</w:t>
      </w:r>
    </w:p>
    <w:p>
      <w:pPr>
        <w:spacing w:after="0" w:line="240" w:lineRule="auto"/>
        <w:ind w:firstLine="720"/>
        <w:jc w:val="center"/>
        <w:rPr>
          <w:rFonts w:ascii="Times New Roman" w:hAnsi="Times New Roman"/>
          <w:b/>
          <w:bCs/>
          <w:sz w:val="26"/>
          <w:szCs w:val="26"/>
          <w:lang w:eastAsia="ro-RO"/>
        </w:rPr>
      </w:pPr>
      <w:r>
        <w:rPr>
          <w:rFonts w:ascii="Times New Roman" w:hAnsi="Times New Roman"/>
          <w:b/>
          <w:bCs/>
          <w:sz w:val="26"/>
          <w:szCs w:val="26"/>
          <w:lang w:val="en-US" w:eastAsia="ro-RO"/>
        </w:rPr>
        <w:t>Ghidului de finanțare a Programului național de înlocuire a echipamentelor electrice și electronice uzate cu unele mai performante din punct de vedere energetic</w:t>
      </w:r>
    </w:p>
    <w:p>
      <w:pPr>
        <w:spacing w:after="0" w:line="240" w:lineRule="auto"/>
        <w:jc w:val="both"/>
        <w:rPr>
          <w:rFonts w:ascii="Times New Roman" w:hAnsi="Times New Roman"/>
          <w:sz w:val="26"/>
          <w:szCs w:val="26"/>
          <w:lang w:val="en-US" w:eastAsia="ro-RO"/>
        </w:rPr>
      </w:pPr>
    </w:p>
    <w:p>
      <w:pPr>
        <w:spacing w:after="0" w:line="240" w:lineRule="auto"/>
        <w:ind w:firstLine="720"/>
        <w:jc w:val="both"/>
        <w:rPr>
          <w:rFonts w:ascii="Times New Roman" w:eastAsia="Calibri" w:hAnsi="Times New Roman"/>
          <w:bCs/>
          <w:i/>
          <w:sz w:val="26"/>
          <w:szCs w:val="26"/>
        </w:rPr>
      </w:pPr>
      <w:r>
        <w:rPr>
          <w:rFonts w:ascii="Times New Roman" w:eastAsia="Calibri" w:hAnsi="Times New Roman"/>
          <w:bCs/>
          <w:sz w:val="26"/>
          <w:szCs w:val="26"/>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 proiectului de ordin pentru aprobarea </w:t>
      </w:r>
      <w:r>
        <w:rPr>
          <w:rFonts w:ascii="Times New Roman" w:eastAsia="Calibri" w:hAnsi="Times New Roman"/>
          <w:bCs/>
          <w:i/>
          <w:sz w:val="26"/>
          <w:szCs w:val="26"/>
        </w:rPr>
        <w:t>Ghidului de finanțare</w:t>
      </w:r>
      <w:r>
        <w:rPr>
          <w:rFonts w:ascii="Times New Roman" w:eastAsia="Calibri" w:hAnsi="Times New Roman"/>
          <w:bCs/>
          <w:sz w:val="26"/>
          <w:szCs w:val="26"/>
        </w:rPr>
        <w:t xml:space="preserve"> </w:t>
      </w:r>
      <w:r>
        <w:rPr>
          <w:rFonts w:ascii="Times New Roman" w:eastAsia="Calibri" w:hAnsi="Times New Roman"/>
          <w:bCs/>
          <w:i/>
          <w:sz w:val="26"/>
          <w:szCs w:val="26"/>
        </w:rPr>
        <w:t>a Programului național de înlocuire a echipamentelor electrice și electronice uzate cu unele mai performante din punct de vedere energetic.</w:t>
      </w:r>
    </w:p>
    <w:p>
      <w:pPr>
        <w:spacing w:after="0" w:line="240" w:lineRule="auto"/>
        <w:ind w:firstLine="720"/>
        <w:jc w:val="both"/>
        <w:rPr>
          <w:rFonts w:ascii="Times New Roman" w:eastAsia="Calibri" w:hAnsi="Times New Roman"/>
          <w:bCs/>
          <w:i/>
          <w:sz w:val="26"/>
          <w:szCs w:val="26"/>
        </w:rPr>
      </w:pP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 xml:space="preserve">Baza legală a proiectului de ordin supus aprobării o constituie prevederile art. 12 alin. (4) din </w:t>
      </w:r>
      <w:r>
        <w:rPr>
          <w:rFonts w:ascii="Times New Roman" w:eastAsia="Calibri" w:hAnsi="Times New Roman"/>
          <w:bCs/>
          <w:i/>
          <w:sz w:val="26"/>
          <w:szCs w:val="26"/>
        </w:rPr>
        <w:t>Ordonanța de urgență a Guvernului nr. 115/2011 privind stabilirea cadrului instituțional și autorizarea Guvernului, prin Ministerul Finanțelor Publice, de a scoate la licitație certificatele de emisii de gaze cu efect de seră atribuite Romaniei la nivelul Uniunii Europene, aprobată prin Legea nr. 163/2012, cu modificările și completările ulterioare.</w:t>
      </w:r>
      <w:r>
        <w:rPr>
          <w:rFonts w:ascii="Times New Roman" w:eastAsia="Calibri" w:hAnsi="Times New Roman"/>
          <w:bCs/>
          <w:sz w:val="26"/>
          <w:szCs w:val="26"/>
        </w:rPr>
        <w:t xml:space="preserve"> Potrivit art. 12 alin. (4) din actul normativ menționat, </w:t>
      </w:r>
      <w:r>
        <w:rPr>
          <w:rFonts w:ascii="Times New Roman" w:eastAsia="Calibri" w:hAnsi="Times New Roman"/>
          <w:bCs/>
          <w:i/>
          <w:sz w:val="26"/>
          <w:szCs w:val="26"/>
        </w:rPr>
        <w:t>”(4) 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Pr>
          <w:rFonts w:ascii="Times New Roman" w:eastAsia="Calibri" w:hAnsi="Times New Roman"/>
          <w:bCs/>
          <w:sz w:val="26"/>
          <w:szCs w:val="26"/>
        </w:rPr>
        <w:t xml:space="preserve">.” </w:t>
      </w:r>
    </w:p>
    <w:p>
      <w:pPr>
        <w:spacing w:after="0" w:line="240" w:lineRule="auto"/>
        <w:ind w:firstLine="720"/>
        <w:jc w:val="both"/>
        <w:rPr>
          <w:rFonts w:ascii="Times New Roman" w:eastAsia="Calibri" w:hAnsi="Times New Roman"/>
          <w:bCs/>
          <w:sz w:val="26"/>
          <w:szCs w:val="26"/>
        </w:rPr>
      </w:pP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Ghidul de finanțare constituie un suport informativ, având rolul de a furniza informații esențiale privind derularea Programului național de înlocuire a echipamentelor electrice și electronice uzate cu unele mai performante din punct de vedere energetic.</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
          <w:bCs/>
          <w:sz w:val="26"/>
          <w:szCs w:val="26"/>
        </w:rPr>
        <w:t xml:space="preserve">Obiectul </w:t>
      </w:r>
      <w:r>
        <w:rPr>
          <w:rFonts w:ascii="Times New Roman" w:eastAsia="Calibri" w:hAnsi="Times New Roman"/>
          <w:bCs/>
          <w:sz w:val="26"/>
          <w:szCs w:val="26"/>
        </w:rPr>
        <w:t>programului îl reprezintă finanțarea nerambursabilă din Fondul pentru mediu, acordată sub forma unui voucher, pentru înlocuirea echipamentelor electrice şi electronice de uz casnic, uzate, cu unele noi, mai performante din punct de vedere energetic, scopul acestuia fiind  îmbunătățirea calității mediului prin înlocuirea echipamentelor electrice şi electronice de uz casnic, uzate, cu unele mai performante din punct de vedere energetic și reducerea emisiilor de gaze cu efect de seră prin diminuarea consumului de energie.</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
          <w:bCs/>
          <w:sz w:val="26"/>
          <w:szCs w:val="26"/>
        </w:rPr>
        <w:t>Finanțarea</w:t>
      </w:r>
      <w:r>
        <w:rPr>
          <w:rFonts w:ascii="Times New Roman" w:eastAsia="Calibri" w:hAnsi="Times New Roman"/>
          <w:bCs/>
          <w:sz w:val="26"/>
          <w:szCs w:val="26"/>
        </w:rPr>
        <w:t xml:space="preserve"> programului se realizează din veniturile rezultate din vânzarea certificatelor de emisii de gaze cu efect de seră încasate la Fondul pentru mediu, în limita creditelor de angajament şi bugetare prevăzute cu această destinație prin bugetul anual al Fondului pentru mediu, aprobat conform legii.</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Sumele alocate unei sesiuni de finanțare, rămase neutilizate, se pot reporta pentru sesiunea următoare, dacă aceasta din urmă are loc în cadrul aceluiași an bugetar.</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 xml:space="preserve"> Finanțarea se acordă sub formă de vouchere, pentru achiziționarea de echipamente electrice şi electronice de uz casnic, după cum urmează:</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a)</w:t>
      </w:r>
      <w:r>
        <w:rPr>
          <w:rFonts w:ascii="Times New Roman" w:eastAsia="Calibri" w:hAnsi="Times New Roman"/>
          <w:bCs/>
          <w:sz w:val="26"/>
          <w:szCs w:val="26"/>
        </w:rPr>
        <w:tab/>
        <w:t>300 lei pentru mașini de spălat rufe cu eficiență energetică cel puțin A++;</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b)</w:t>
      </w:r>
      <w:r>
        <w:rPr>
          <w:rFonts w:ascii="Times New Roman" w:eastAsia="Calibri" w:hAnsi="Times New Roman"/>
          <w:bCs/>
          <w:sz w:val="26"/>
          <w:szCs w:val="26"/>
        </w:rPr>
        <w:tab/>
        <w:t>400 lei pentru mașini de spălat vase cu eficiență energetică cel puțin A++;</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lastRenderedPageBreak/>
        <w:t>c)</w:t>
      </w:r>
      <w:r>
        <w:rPr>
          <w:rFonts w:ascii="Times New Roman" w:eastAsia="Calibri" w:hAnsi="Times New Roman"/>
          <w:bCs/>
          <w:sz w:val="26"/>
          <w:szCs w:val="26"/>
        </w:rPr>
        <w:tab/>
        <w:t>400 lei pentru aparate de aer condiționat, inclusiv aparate de aer condiționat portabile, cu eficiență energetică la răcire cel puțin A++;</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d)</w:t>
      </w:r>
      <w:r>
        <w:rPr>
          <w:rFonts w:ascii="Times New Roman" w:eastAsia="Calibri" w:hAnsi="Times New Roman"/>
          <w:bCs/>
          <w:sz w:val="26"/>
          <w:szCs w:val="26"/>
        </w:rPr>
        <w:tab/>
        <w:t xml:space="preserve">400 lei pentru categoria frigidere/combine frigorifice/lăzi frigorifice/congelatoare cu eficiență energetică cel puțin A++; </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e)</w:t>
      </w:r>
      <w:r>
        <w:rPr>
          <w:rFonts w:ascii="Times New Roman" w:eastAsia="Calibri" w:hAnsi="Times New Roman"/>
          <w:bCs/>
          <w:sz w:val="26"/>
          <w:szCs w:val="26"/>
        </w:rPr>
        <w:tab/>
        <w:t>400 lei pentru televizoare cu eficiență energetică cel puțin A;</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f)</w:t>
      </w:r>
      <w:r>
        <w:rPr>
          <w:rFonts w:ascii="Times New Roman" w:eastAsia="Calibri" w:hAnsi="Times New Roman"/>
          <w:bCs/>
          <w:sz w:val="26"/>
          <w:szCs w:val="26"/>
        </w:rPr>
        <w:tab/>
        <w:t xml:space="preserve">400 lei pentru uscătoare de rufe cu eficiență energetică cel puțin A++; </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g)</w:t>
      </w:r>
      <w:r>
        <w:rPr>
          <w:rFonts w:ascii="Times New Roman" w:eastAsia="Calibri" w:hAnsi="Times New Roman"/>
          <w:bCs/>
          <w:sz w:val="26"/>
          <w:szCs w:val="26"/>
        </w:rPr>
        <w:tab/>
        <w:t xml:space="preserve">200 lei pentru aspiratoare cu eficiență energetică cel puțin A. </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Suma finanțată de Autoritate se scade de către comerciantul validat din valoarea totală a facturii echipamentelor achiziționate prin program, iar diferența este suportată de către persoana fizică, din surse financiare proprii. Finanțarea nu poate depăși 50% din valoarea echipamentelor comercializate prin program.</w:t>
      </w:r>
    </w:p>
    <w:p>
      <w:pPr>
        <w:spacing w:after="0" w:line="240" w:lineRule="auto"/>
        <w:jc w:val="both"/>
        <w:rPr>
          <w:rFonts w:ascii="Times New Roman" w:eastAsia="Calibri" w:hAnsi="Times New Roman"/>
          <w:bCs/>
          <w:sz w:val="26"/>
          <w:szCs w:val="26"/>
        </w:rPr>
      </w:pP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 xml:space="preserve">Sunt considerate </w:t>
      </w:r>
      <w:r>
        <w:rPr>
          <w:rFonts w:ascii="Times New Roman" w:eastAsia="Calibri" w:hAnsi="Times New Roman"/>
          <w:b/>
          <w:bCs/>
          <w:sz w:val="26"/>
          <w:szCs w:val="26"/>
        </w:rPr>
        <w:t>cheltuieli eligibile</w:t>
      </w:r>
      <w:r>
        <w:rPr>
          <w:rFonts w:ascii="Times New Roman" w:eastAsia="Calibri" w:hAnsi="Times New Roman"/>
          <w:bCs/>
          <w:sz w:val="26"/>
          <w:szCs w:val="26"/>
        </w:rPr>
        <w:t xml:space="preserve"> următoarele:</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 achiziția de mașini de spălat rufe/vase, uscătoare de rufe, frigidere/combine frigorifice/lăzi frigorifice/congelatoare, televizoare, aparate de aer condiționat, inclusiv aparate de aer condiționat portabile și aspiratoare din clasele energetice prevăzute la art. 5 alin. (1);</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 TVA aferentă echipamentelor achiziționate prin program.</w:t>
      </w:r>
    </w:p>
    <w:p>
      <w:pPr>
        <w:spacing w:after="0" w:line="240" w:lineRule="auto"/>
        <w:ind w:firstLine="720"/>
        <w:jc w:val="both"/>
        <w:rPr>
          <w:rFonts w:ascii="Times New Roman" w:eastAsia="Calibri" w:hAnsi="Times New Roman"/>
          <w:bCs/>
          <w:sz w:val="26"/>
          <w:szCs w:val="26"/>
        </w:rPr>
      </w:pPr>
      <w:r>
        <w:rPr>
          <w:rFonts w:ascii="Times New Roman" w:eastAsia="Calibri" w:hAnsi="Times New Roman"/>
          <w:bCs/>
          <w:sz w:val="26"/>
          <w:szCs w:val="26"/>
        </w:rPr>
        <w:t>Demontarea/Montarea echipamentelor achiziționate prin program intră în sarcina beneficiarilor şi nu este considerată cheltuială eligibilă.</w:t>
      </w:r>
    </w:p>
    <w:p>
      <w:pPr>
        <w:spacing w:after="0" w:line="240" w:lineRule="auto"/>
        <w:jc w:val="both"/>
        <w:rPr>
          <w:rFonts w:ascii="Times New Roman" w:eastAsia="Calibri" w:hAnsi="Times New Roman"/>
          <w:bCs/>
          <w:sz w:val="26"/>
          <w:szCs w:val="26"/>
        </w:rPr>
      </w:pPr>
    </w:p>
    <w:p>
      <w:pPr>
        <w:spacing w:after="0" w:line="240" w:lineRule="auto"/>
        <w:ind w:firstLine="720"/>
        <w:jc w:val="both"/>
        <w:rPr>
          <w:rFonts w:ascii="Times New Roman" w:eastAsia="Calibri" w:hAnsi="Times New Roman"/>
          <w:b/>
          <w:bCs/>
          <w:sz w:val="26"/>
          <w:szCs w:val="26"/>
        </w:rPr>
      </w:pPr>
      <w:r>
        <w:rPr>
          <w:rFonts w:ascii="Times New Roman" w:eastAsia="Calibri" w:hAnsi="Times New Roman"/>
          <w:bCs/>
          <w:sz w:val="26"/>
          <w:szCs w:val="26"/>
        </w:rPr>
        <w:t xml:space="preserve">Pentru motivele invocate, vă rugăm să aprobați </w:t>
      </w:r>
      <w:r>
        <w:rPr>
          <w:rFonts w:ascii="Times New Roman" w:eastAsia="Calibri" w:hAnsi="Times New Roman"/>
          <w:b/>
          <w:bCs/>
          <w:i/>
          <w:sz w:val="26"/>
          <w:szCs w:val="26"/>
        </w:rPr>
        <w:t xml:space="preserve">Ordinul pentru aprobarea Ghidului de finanțare a Programului național de înlocuire a echipamentelor electrice și electronice uzate cu unele mai performante din punct </w:t>
      </w:r>
      <w:bookmarkStart w:id="0" w:name="_GoBack"/>
      <w:bookmarkEnd w:id="0"/>
      <w:r>
        <w:rPr>
          <w:rFonts w:ascii="Times New Roman" w:eastAsia="Calibri" w:hAnsi="Times New Roman"/>
          <w:b/>
          <w:bCs/>
          <w:i/>
          <w:sz w:val="26"/>
          <w:szCs w:val="26"/>
        </w:rPr>
        <w:t>de vedere energetic.</w:t>
      </w:r>
    </w:p>
    <w:p>
      <w:pPr>
        <w:spacing w:after="0" w:line="240" w:lineRule="auto"/>
        <w:ind w:firstLine="720"/>
        <w:jc w:val="both"/>
        <w:rPr>
          <w:rFonts w:ascii="Times New Roman" w:eastAsia="Calibri" w:hAnsi="Times New Roman"/>
          <w:sz w:val="28"/>
          <w:szCs w:val="28"/>
          <w:vertAlign w:val="superscript"/>
        </w:rPr>
      </w:pPr>
    </w:p>
    <w:p>
      <w:pPr>
        <w:spacing w:after="0"/>
        <w:jc w:val="center"/>
        <w:rPr>
          <w:rFonts w:ascii="Times New Roman" w:eastAsia="Calibri" w:hAnsi="Times New Roman"/>
          <w:b/>
          <w:bCs/>
          <w:sz w:val="24"/>
          <w:szCs w:val="24"/>
        </w:rPr>
      </w:pPr>
    </w:p>
    <w:p>
      <w:pPr>
        <w:spacing w:after="0"/>
        <w:jc w:val="center"/>
        <w:rPr>
          <w:rFonts w:ascii="Times New Roman" w:eastAsia="Calibri" w:hAnsi="Times New Roman"/>
          <w:b/>
          <w:bCs/>
          <w:sz w:val="24"/>
          <w:szCs w:val="24"/>
        </w:rPr>
      </w:pPr>
    </w:p>
    <w:p>
      <w:pPr>
        <w:spacing w:after="0"/>
        <w:jc w:val="center"/>
        <w:rPr>
          <w:rFonts w:ascii="Times New Roman" w:eastAsia="Calibri" w:hAnsi="Times New Roman"/>
          <w:b/>
          <w:bCs/>
          <w:sz w:val="24"/>
          <w:szCs w:val="24"/>
        </w:rPr>
      </w:pPr>
      <w:r>
        <w:rPr>
          <w:rFonts w:ascii="Times New Roman" w:eastAsia="Calibri" w:hAnsi="Times New Roman"/>
          <w:b/>
          <w:bCs/>
          <w:sz w:val="24"/>
          <w:szCs w:val="24"/>
        </w:rPr>
        <w:t>PREȘEDINTE,</w:t>
      </w:r>
    </w:p>
    <w:p>
      <w:pPr>
        <w:spacing w:after="0"/>
        <w:jc w:val="center"/>
        <w:rPr>
          <w:rFonts w:ascii="Times New Roman" w:eastAsia="Calibri" w:hAnsi="Times New Roman"/>
          <w:b/>
          <w:bCs/>
          <w:sz w:val="24"/>
          <w:szCs w:val="24"/>
        </w:rPr>
      </w:pPr>
      <w:r>
        <w:rPr>
          <w:rFonts w:ascii="Times New Roman" w:eastAsia="Calibri" w:hAnsi="Times New Roman"/>
          <w:b/>
          <w:bCs/>
          <w:sz w:val="24"/>
          <w:szCs w:val="24"/>
        </w:rPr>
        <w:t>Dan-Cătălin VATAMANU</w:t>
      </w:r>
    </w:p>
    <w:p>
      <w:pPr>
        <w:spacing w:after="0"/>
        <w:jc w:val="center"/>
        <w:rPr>
          <w:rFonts w:ascii="Times New Roman" w:eastAsia="Calibri" w:hAnsi="Times New Roman"/>
          <w:b/>
          <w:bCs/>
          <w:sz w:val="24"/>
          <w:szCs w:val="24"/>
        </w:rPr>
      </w:pPr>
    </w:p>
    <w:p>
      <w:pPr>
        <w:spacing w:after="0"/>
        <w:jc w:val="center"/>
        <w:rPr>
          <w:rFonts w:ascii="Times New Roman" w:eastAsia="Calibri" w:hAnsi="Times New Roman"/>
          <w:b/>
          <w:bCs/>
          <w:sz w:val="24"/>
          <w:szCs w:val="24"/>
        </w:rPr>
      </w:pPr>
    </w:p>
    <w:p>
      <w:pPr>
        <w:spacing w:after="0"/>
        <w:jc w:val="center"/>
        <w:rPr>
          <w:rFonts w:ascii="Times New Roman" w:eastAsia="Calibri" w:hAnsi="Times New Roman"/>
          <w:b/>
          <w:bCs/>
          <w:sz w:val="24"/>
          <w:szCs w:val="24"/>
        </w:rPr>
      </w:pPr>
    </w:p>
    <w:p>
      <w:pPr>
        <w:spacing w:after="0"/>
        <w:rPr>
          <w:rFonts w:ascii="Times New Roman" w:eastAsia="Calibri" w:hAnsi="Times New Roman"/>
          <w:color w:val="FFFFFF" w:themeColor="background1"/>
        </w:rPr>
      </w:pPr>
      <w:r>
        <w:rPr>
          <w:rFonts w:ascii="Times New Roman" w:eastAsia="Calibri" w:hAnsi="Times New Roman"/>
          <w:color w:val="FFFFFF" w:themeColor="background1"/>
        </w:rPr>
        <w:t xml:space="preserve">Director Direcția Juridică, </w:t>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t xml:space="preserve">       Șef Serviciu Analiză și Avizare DJ,</w:t>
      </w:r>
      <w:r>
        <w:rPr>
          <w:rFonts w:ascii="Times New Roman" w:eastAsia="Calibri" w:hAnsi="Times New Roman"/>
          <w:color w:val="FFFFFF" w:themeColor="background1"/>
        </w:rPr>
        <w:tab/>
      </w:r>
    </w:p>
    <w:p>
      <w:pPr>
        <w:spacing w:after="0"/>
        <w:rPr>
          <w:rFonts w:ascii="Times New Roman" w:eastAsia="Calibri" w:hAnsi="Times New Roman"/>
          <w:color w:val="FFFFFF" w:themeColor="background1"/>
        </w:rPr>
      </w:pPr>
      <w:r>
        <w:rPr>
          <w:rFonts w:ascii="Times New Roman" w:eastAsia="Calibri" w:hAnsi="Times New Roman"/>
          <w:color w:val="FFFFFF" w:themeColor="background1"/>
        </w:rPr>
        <w:t xml:space="preserve">    Emilia Pavel </w:t>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r>
      <w:r>
        <w:rPr>
          <w:rFonts w:ascii="Times New Roman" w:eastAsia="Calibri" w:hAnsi="Times New Roman"/>
          <w:color w:val="FFFFFF" w:themeColor="background1"/>
        </w:rPr>
        <w:tab/>
        <w:t xml:space="preserve">          </w:t>
      </w:r>
      <w:r>
        <w:rPr>
          <w:rFonts w:ascii="Times New Roman" w:eastAsia="Calibri" w:hAnsi="Times New Roman"/>
          <w:color w:val="FFFFFF" w:themeColor="background1"/>
        </w:rPr>
        <w:tab/>
        <w:t xml:space="preserve">       Andreea Coman</w:t>
      </w:r>
      <w:r>
        <w:rPr>
          <w:rFonts w:ascii="Times New Roman" w:eastAsia="Calibri" w:hAnsi="Times New Roman"/>
          <w:color w:val="FFFFFF" w:themeColor="background1"/>
        </w:rPr>
        <w:tab/>
      </w:r>
    </w:p>
    <w:p>
      <w:pPr>
        <w:spacing w:after="0"/>
        <w:rPr>
          <w:rFonts w:ascii="Times New Roman" w:eastAsia="Calibri" w:hAnsi="Times New Roman"/>
          <w:color w:val="FFFFFF" w:themeColor="background1"/>
        </w:rPr>
      </w:pPr>
    </w:p>
    <w:p>
      <w:pPr>
        <w:spacing w:after="0"/>
        <w:rPr>
          <w:rFonts w:ascii="Times New Roman" w:eastAsia="Calibri" w:hAnsi="Times New Roman"/>
          <w:color w:val="FFFFFF" w:themeColor="background1"/>
        </w:rPr>
      </w:pPr>
    </w:p>
    <w:p>
      <w:pPr>
        <w:spacing w:after="0"/>
        <w:rPr>
          <w:rFonts w:ascii="Times New Roman" w:eastAsia="Calibri" w:hAnsi="Times New Roman"/>
        </w:rPr>
      </w:pP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w:t>
      </w:r>
    </w:p>
    <w:p>
      <w:pPr>
        <w:spacing w:after="0"/>
        <w:rPr>
          <w:rFonts w:ascii="Times New Roman" w:eastAsia="Calibri" w:hAnsi="Times New Roman"/>
        </w:rPr>
      </w:pP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p>
    <w:sectPr>
      <w:headerReference w:type="even" r:id="rId8"/>
      <w:headerReference w:type="default" r:id="rId9"/>
      <w:footerReference w:type="even" r:id="rId10"/>
      <w:footerReference w:type="default" r:id="rId11"/>
      <w:headerReference w:type="first" r:id="rId12"/>
      <w:footerReference w:type="first" r:id="rId13"/>
      <w:pgSz w:w="11906" w:h="16838"/>
      <w:pgMar w:top="1953" w:right="566" w:bottom="567"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pPr>
      <w:pStyle w:val="Footer"/>
    </w:pP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ind w:left="-851"/>
    </w:pPr>
    <w:r>
      <w:rPr>
        <w:rFonts w:ascii="Times New Roman" w:hAnsi="Times New Roman"/>
        <w:b/>
        <w:noProof/>
        <w:sz w:val="28"/>
        <w:szCs w:val="28"/>
        <w:lang w:eastAsia="ro-RO"/>
      </w:rPr>
      <w:drawing>
        <wp:anchor distT="0" distB="0" distL="114300" distR="114300" simplePos="0" relativeHeight="251664384" behindDoc="1" locked="0" layoutInCell="1" allowOverlap="1">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1312" behindDoc="0" locked="0" layoutInCell="1" allowOverlap="1">
          <wp:simplePos x="0" y="0"/>
          <wp:positionH relativeFrom="column">
            <wp:posOffset>-338455</wp:posOffset>
          </wp:positionH>
          <wp:positionV relativeFrom="paragraph">
            <wp:posOffset>-102870</wp:posOffset>
          </wp:positionV>
          <wp:extent cx="866775" cy="866775"/>
          <wp:effectExtent l="0" t="0" r="9525" b="9525"/>
          <wp:wrapNone/>
          <wp:docPr id="6" name="Picture 6"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pPr>
      <w:pStyle w:val="Header"/>
      <w:ind w:left="-851"/>
    </w:pPr>
    <w:r>
      <w:rPr>
        <w:rFonts w:ascii="Trajan Pro" w:hAnsi="Trajan Pro" w:cs="Times New Roman"/>
        <w:sz w:val="20"/>
        <w:szCs w:val="20"/>
      </w:rPr>
      <w:t xml:space="preserve">                                    MINISTERUL MEDIULUI, APELOR ȘI PĂDURILOR</w:t>
    </w:r>
  </w:p>
  <w:p>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pPr>
      <w:pStyle w:val="Header"/>
    </w:pPr>
    <w:r>
      <w:rPr>
        <w:noProof/>
        <w:lang w:eastAsia="ro-RO"/>
      </w:rPr>
      <mc:AlternateContent>
        <mc:Choice Requires="wps">
          <w:drawing>
            <wp:anchor distT="4294967295" distB="4294967295" distL="114300" distR="114300" simplePos="0" relativeHeight="251659264" behindDoc="0" locked="0" layoutInCell="1" allowOverlap="1">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2FFE"/>
    <w:multiLevelType w:val="hybridMultilevel"/>
    <w:tmpl w:val="BAB661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21757-2070-4B26-80E6-7E64B96A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4292">
      <w:bodyDiv w:val="1"/>
      <w:marLeft w:val="0"/>
      <w:marRight w:val="0"/>
      <w:marTop w:val="0"/>
      <w:marBottom w:val="0"/>
      <w:divBdr>
        <w:top w:val="none" w:sz="0" w:space="0" w:color="auto"/>
        <w:left w:val="none" w:sz="0" w:space="0" w:color="auto"/>
        <w:bottom w:val="none" w:sz="0" w:space="0" w:color="auto"/>
        <w:right w:val="none" w:sz="0" w:space="0" w:color="auto"/>
      </w:divBdr>
    </w:div>
    <w:div w:id="427434903">
      <w:bodyDiv w:val="1"/>
      <w:marLeft w:val="0"/>
      <w:marRight w:val="0"/>
      <w:marTop w:val="0"/>
      <w:marBottom w:val="0"/>
      <w:divBdr>
        <w:top w:val="none" w:sz="0" w:space="0" w:color="auto"/>
        <w:left w:val="none" w:sz="0" w:space="0" w:color="auto"/>
        <w:bottom w:val="none" w:sz="0" w:space="0" w:color="auto"/>
        <w:right w:val="none" w:sz="0" w:space="0" w:color="auto"/>
      </w:divBdr>
    </w:div>
    <w:div w:id="61579528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670519090">
      <w:bodyDiv w:val="1"/>
      <w:marLeft w:val="0"/>
      <w:marRight w:val="0"/>
      <w:marTop w:val="0"/>
      <w:marBottom w:val="0"/>
      <w:divBdr>
        <w:top w:val="none" w:sz="0" w:space="0" w:color="auto"/>
        <w:left w:val="none" w:sz="0" w:space="0" w:color="auto"/>
        <w:bottom w:val="none" w:sz="0" w:space="0" w:color="auto"/>
        <w:right w:val="none" w:sz="0" w:space="0" w:color="auto"/>
      </w:divBdr>
    </w:div>
    <w:div w:id="19791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1029-C4F5-469F-AB8A-6A172DA8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724</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Mihail-Dan DOJANA</cp:lastModifiedBy>
  <cp:revision>387</cp:revision>
  <cp:lastPrinted>2020-09-17T13:19:00Z</cp:lastPrinted>
  <dcterms:created xsi:type="dcterms:W3CDTF">2019-11-11T10:58:00Z</dcterms:created>
  <dcterms:modified xsi:type="dcterms:W3CDTF">2020-09-17T14:59:00Z</dcterms:modified>
</cp:coreProperties>
</file>