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59" w:rsidRDefault="005A407B">
      <w:pPr>
        <w:spacing w:after="0" w:line="240" w:lineRule="auto"/>
        <w:rPr>
          <w:rFonts w:ascii="Trebuchet MS" w:hAnsi="Trebuchet MS"/>
        </w:rPr>
      </w:pPr>
      <w:r>
        <w:rPr>
          <w:noProof/>
        </w:rPr>
        <w:drawing>
          <wp:anchor distT="0" distB="0" distL="114300" distR="114300" simplePos="0" relativeHeight="2" behindDoc="0" locked="0" layoutInCell="1" allowOverlap="1">
            <wp:simplePos x="0" y="0"/>
            <wp:positionH relativeFrom="column">
              <wp:posOffset>-361950</wp:posOffset>
            </wp:positionH>
            <wp:positionV relativeFrom="paragraph">
              <wp:posOffset>635</wp:posOffset>
            </wp:positionV>
            <wp:extent cx="3236595" cy="899795"/>
            <wp:effectExtent l="0" t="0" r="0" b="0"/>
            <wp:wrapSquare wrapText="bothSides"/>
            <wp:docPr id="1"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gabriel.jitaru\Desktop\20191107 ministru instalare\logo MMAP\MMAP-antet.png"/>
                    <pic:cNvPicPr>
                      <a:picLocks noChangeAspect="1" noChangeArrowheads="1"/>
                    </pic:cNvPicPr>
                  </pic:nvPicPr>
                  <pic:blipFill>
                    <a:blip r:embed="rId6"/>
                    <a:stretch>
                      <a:fillRect/>
                    </a:stretch>
                  </pic:blipFill>
                  <pic:spPr bwMode="auto">
                    <a:xfrm>
                      <a:off x="0" y="0"/>
                      <a:ext cx="3236595" cy="899795"/>
                    </a:xfrm>
                    <a:prstGeom prst="rect">
                      <a:avLst/>
                    </a:prstGeom>
                  </pic:spPr>
                </pic:pic>
              </a:graphicData>
            </a:graphic>
          </wp:anchor>
        </w:drawing>
      </w:r>
      <w:r>
        <w:rPr>
          <w:rFonts w:ascii="Trebuchet MS" w:hAnsi="Trebuchet MS"/>
        </w:rPr>
        <w:t xml:space="preserve"> </w:t>
      </w:r>
    </w:p>
    <w:p w:rsidR="00BD4C59" w:rsidRDefault="00BD4C59">
      <w:pPr>
        <w:spacing w:after="0" w:line="240" w:lineRule="auto"/>
        <w:rPr>
          <w:rFonts w:ascii="Trebuchet MS" w:hAnsi="Trebuchet MS"/>
        </w:rPr>
      </w:pPr>
    </w:p>
    <w:p w:rsidR="00BD4C59" w:rsidRDefault="00BD4C59">
      <w:pPr>
        <w:spacing w:after="0" w:line="240" w:lineRule="auto"/>
        <w:rPr>
          <w:rFonts w:ascii="Trebuchet MS" w:hAnsi="Trebuchet MS"/>
        </w:rPr>
      </w:pPr>
    </w:p>
    <w:p w:rsidR="00BD4C59" w:rsidRDefault="00BD4C59">
      <w:pPr>
        <w:spacing w:after="0" w:line="240" w:lineRule="auto"/>
        <w:rPr>
          <w:rFonts w:ascii="Trebuchet MS" w:eastAsia="MS Mincho" w:hAnsi="Trebuchet MS" w:cs="Times New Roman" w:hint="eastAsia"/>
          <w:b/>
          <w:lang w:val="ro-RO"/>
        </w:rPr>
      </w:pPr>
    </w:p>
    <w:p w:rsidR="00BD4C59" w:rsidRDefault="00BD4C59">
      <w:pPr>
        <w:spacing w:after="0" w:line="240" w:lineRule="auto"/>
        <w:jc w:val="center"/>
        <w:rPr>
          <w:rFonts w:ascii="Trebuchet MS" w:eastAsia="MS Mincho" w:hAnsi="Trebuchet MS" w:cs="Times New Roman" w:hint="eastAsia"/>
          <w:lang w:val="ro-RO"/>
        </w:rPr>
      </w:pPr>
    </w:p>
    <w:p w:rsidR="00BD4C59" w:rsidRDefault="00BD4C59">
      <w:pPr>
        <w:spacing w:after="0" w:line="240" w:lineRule="auto"/>
        <w:rPr>
          <w:rFonts w:ascii="Trebuchet MS" w:eastAsia="MS Mincho" w:hAnsi="Trebuchet MS" w:cs="Times New Roman" w:hint="eastAsia"/>
          <w:color w:val="000000"/>
          <w:lang w:val="ro-RO"/>
        </w:rPr>
      </w:pPr>
    </w:p>
    <w:p w:rsidR="00BD4C59" w:rsidRDefault="005A407B">
      <w:pPr>
        <w:spacing w:after="0" w:line="240" w:lineRule="auto"/>
        <w:ind w:left="1080"/>
        <w:rPr>
          <w:rFonts w:ascii="Trebuchet MS" w:eastAsia="MS Mincho" w:hAnsi="Trebuchet MS" w:cs="Times New Roman" w:hint="eastAsia"/>
          <w:lang w:val="ro-RO"/>
        </w:rPr>
      </w:pPr>
      <w:r>
        <w:rPr>
          <w:rFonts w:ascii="Trebuchet MS" w:eastAsia="MS Mincho" w:hAnsi="Trebuchet MS" w:cs="Times New Roman"/>
          <w:color w:val="000000"/>
          <w:lang w:val="ro-RO"/>
        </w:rPr>
        <w:t>Direcția Generală Evaluare Impact și Controlul Poluării</w:t>
      </w:r>
    </w:p>
    <w:p w:rsidR="00BD4C59" w:rsidRDefault="00BD4C59">
      <w:pPr>
        <w:spacing w:after="0" w:line="240" w:lineRule="auto"/>
        <w:ind w:left="1080"/>
        <w:rPr>
          <w:rFonts w:ascii="Trebuchet MS" w:eastAsia="MS Mincho" w:hAnsi="Trebuchet MS" w:cs="Times New Roman" w:hint="eastAsia"/>
          <w:lang w:val="ro-RO"/>
        </w:rPr>
      </w:pPr>
    </w:p>
    <w:p w:rsidR="00BD4C59" w:rsidRDefault="005A407B">
      <w:pPr>
        <w:spacing w:after="0" w:line="240" w:lineRule="auto"/>
        <w:ind w:left="1080"/>
        <w:rPr>
          <w:rFonts w:ascii="Trebuchet MS" w:eastAsia="MS Mincho" w:hAnsi="Trebuchet MS" w:cs="Times New Roman" w:hint="eastAsia"/>
          <w:lang w:val="ro-RO"/>
        </w:rPr>
      </w:pPr>
      <w:r>
        <w:rPr>
          <w:rFonts w:ascii="Trebuchet MS" w:eastAsia="MS Mincho" w:hAnsi="Trebuchet MS" w:cs="Times New Roman"/>
          <w:lang w:val="ro-RO"/>
        </w:rPr>
        <w:t>Nr.__________/DM ________________</w:t>
      </w:r>
    </w:p>
    <w:p w:rsidR="00BD4C59" w:rsidRDefault="00BD4C59">
      <w:pPr>
        <w:spacing w:after="0" w:line="240" w:lineRule="auto"/>
        <w:ind w:left="1080"/>
        <w:rPr>
          <w:rFonts w:ascii="Trebuchet MS" w:eastAsia="MS Mincho" w:hAnsi="Trebuchet MS" w:cs="Times New Roman" w:hint="eastAsia"/>
          <w:lang w:val="ro-RO"/>
        </w:rPr>
      </w:pPr>
    </w:p>
    <w:p w:rsidR="00BD4C59" w:rsidRDefault="00BD4C59">
      <w:pPr>
        <w:spacing w:after="0" w:line="240" w:lineRule="auto"/>
        <w:ind w:left="1080"/>
        <w:rPr>
          <w:rFonts w:ascii="Trebuchet MS" w:eastAsia="MS Mincho" w:hAnsi="Trebuchet MS" w:cs="Times New Roman" w:hint="eastAsia"/>
          <w:lang w:val="ro-RO"/>
        </w:rPr>
      </w:pPr>
    </w:p>
    <w:p w:rsidR="00BD4C59" w:rsidRDefault="00BD4C59">
      <w:pPr>
        <w:spacing w:after="0" w:line="240" w:lineRule="auto"/>
        <w:rPr>
          <w:rFonts w:ascii="Trebuchet MS" w:eastAsia="MS Mincho" w:hAnsi="Trebuchet MS" w:cs="Times New Roman" w:hint="eastAsia"/>
          <w:lang w:val="ro-RO"/>
        </w:rPr>
      </w:pPr>
    </w:p>
    <w:p w:rsidR="00BD4C59" w:rsidRDefault="00BD4C59">
      <w:pPr>
        <w:spacing w:after="0" w:line="240" w:lineRule="auto"/>
        <w:rPr>
          <w:rFonts w:ascii="Trebuchet MS" w:eastAsia="MS Mincho" w:hAnsi="Trebuchet MS" w:cs="Times New Roman" w:hint="eastAsia"/>
          <w:lang w:val="ro-RO"/>
        </w:rPr>
      </w:pPr>
    </w:p>
    <w:p w:rsidR="00BD4C59" w:rsidRDefault="00BD4C59">
      <w:pPr>
        <w:spacing w:after="0" w:line="240" w:lineRule="auto"/>
        <w:rPr>
          <w:rFonts w:ascii="Trebuchet MS" w:eastAsia="MS Mincho" w:hAnsi="Trebuchet MS" w:cs="Times New Roman" w:hint="eastAsia"/>
          <w:lang w:val="ro-RO"/>
        </w:rPr>
      </w:pPr>
    </w:p>
    <w:p w:rsidR="00BD4C59" w:rsidRDefault="00BD4C59">
      <w:pPr>
        <w:spacing w:after="0" w:line="240" w:lineRule="auto"/>
        <w:ind w:left="1080"/>
        <w:rPr>
          <w:rFonts w:ascii="Trebuchet MS" w:eastAsia="MS Mincho" w:hAnsi="Trebuchet MS" w:cs="Times New Roman" w:hint="eastAsia"/>
          <w:lang w:val="ro-RO"/>
        </w:rPr>
      </w:pPr>
    </w:p>
    <w:p w:rsidR="00BD4C59" w:rsidRDefault="005A407B">
      <w:pPr>
        <w:spacing w:after="232" w:line="240" w:lineRule="auto"/>
        <w:jc w:val="center"/>
        <w:rPr>
          <w:rFonts w:ascii="Trebuchet MS" w:eastAsia="MS Mincho" w:hAnsi="Trebuchet MS" w:cs="Times New Roman" w:hint="eastAsia"/>
          <w:b/>
          <w:bCs/>
          <w:color w:val="000000"/>
          <w:lang w:eastAsia="zh-CN"/>
        </w:rPr>
      </w:pPr>
      <w:r>
        <w:rPr>
          <w:rFonts w:ascii="Trebuchet MS" w:eastAsia="MS Mincho" w:hAnsi="Trebuchet MS" w:cs="Times New Roman"/>
          <w:b/>
          <w:bCs/>
          <w:color w:val="000000"/>
          <w:lang w:eastAsia="zh-CN"/>
        </w:rPr>
        <w:t xml:space="preserve">         </w:t>
      </w:r>
      <w:proofErr w:type="spellStart"/>
      <w:r>
        <w:rPr>
          <w:rFonts w:ascii="Trebuchet MS" w:eastAsia="MS Mincho" w:hAnsi="Trebuchet MS" w:cs="Times New Roman"/>
          <w:b/>
          <w:bCs/>
          <w:color w:val="000000"/>
          <w:lang w:eastAsia="zh-CN"/>
        </w:rPr>
        <w:t>Referat</w:t>
      </w:r>
      <w:proofErr w:type="spellEnd"/>
      <w:r>
        <w:rPr>
          <w:rFonts w:ascii="Trebuchet MS" w:eastAsia="MS Mincho" w:hAnsi="Trebuchet MS" w:cs="Times New Roman"/>
          <w:b/>
          <w:bCs/>
          <w:color w:val="000000"/>
          <w:lang w:eastAsia="zh-CN"/>
        </w:rPr>
        <w:t xml:space="preserve"> de </w:t>
      </w:r>
      <w:proofErr w:type="spellStart"/>
      <w:r>
        <w:rPr>
          <w:rFonts w:ascii="Trebuchet MS" w:eastAsia="MS Mincho" w:hAnsi="Trebuchet MS" w:cs="Times New Roman"/>
          <w:b/>
          <w:bCs/>
          <w:color w:val="000000"/>
          <w:lang w:eastAsia="zh-CN"/>
        </w:rPr>
        <w:t>aprobare</w:t>
      </w:r>
      <w:proofErr w:type="spellEnd"/>
    </w:p>
    <w:p w:rsidR="00BD4C59" w:rsidRDefault="00BD4C59">
      <w:pPr>
        <w:spacing w:after="232" w:line="240" w:lineRule="auto"/>
        <w:jc w:val="center"/>
        <w:rPr>
          <w:rFonts w:ascii="Trebuchet MS" w:eastAsia="MS Mincho" w:hAnsi="Trebuchet MS" w:cs="Times New Roman" w:hint="eastAsia"/>
          <w:b/>
          <w:bCs/>
          <w:color w:val="000000"/>
          <w:lang w:eastAsia="zh-CN"/>
        </w:rPr>
      </w:pP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 xml:space="preserve">În baza prevederilor art. 21 alin. (1) şi (2) din Ordonanţa de urgenţă a Guvernului nr. 195/2005 privind protecţia mediului, aprobată cu modificări şi completări prin Legea nr. 265/2006, cu modificările şi completările ulterioare, </w:t>
      </w:r>
      <w:r>
        <w:rPr>
          <w:rFonts w:ascii="Trebuchet MS" w:eastAsia="MS Mincho" w:hAnsi="Trebuchet MS" w:cs="Times New Roman"/>
        </w:rPr>
        <w:t>“</w:t>
      </w:r>
      <w:r>
        <w:rPr>
          <w:rFonts w:ascii="Trebuchet MS" w:eastAsia="MS Mincho" w:hAnsi="Trebuchet MS" w:cs="Times New Roman"/>
          <w:lang w:val="ro-RO"/>
        </w:rPr>
        <w:t>raportul de mediu, rapor</w:t>
      </w:r>
      <w:r>
        <w:rPr>
          <w:rFonts w:ascii="Trebuchet MS" w:eastAsia="MS Mincho" w:hAnsi="Trebuchet MS" w:cs="Times New Roman"/>
          <w:lang w:val="ro-RO"/>
        </w:rPr>
        <w:t>tul privind impactul asupra mediului, bilanţul de mediu, raportul de amplasament, raportul de securitate, studiul de evaluare adecvată se realizează de către persoane fizice şi juridice care au acest drept, potrivit legii.”.</w:t>
      </w:r>
      <w:r>
        <w:rPr>
          <w:rFonts w:ascii="Trebuchet MS" w:eastAsia="MS Mincho" w:hAnsi="Trebuchet MS" w:cs="Times New Roman"/>
          <w:lang w:val="ro-RO"/>
        </w:rPr>
        <w:tab/>
      </w:r>
    </w:p>
    <w:p w:rsidR="00BD4C59" w:rsidRDefault="00BD4C59">
      <w:pPr>
        <w:spacing w:after="0" w:line="240" w:lineRule="auto"/>
        <w:ind w:left="1080"/>
        <w:jc w:val="both"/>
        <w:rPr>
          <w:rFonts w:ascii="Trebuchet MS" w:eastAsia="MS Mincho" w:hAnsi="Trebuchet MS" w:cs="Times New Roman" w:hint="eastAsia"/>
          <w:lang w:val="ro-RO"/>
        </w:rPr>
      </w:pP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Modificarea legislației comun</w:t>
      </w:r>
      <w:r>
        <w:rPr>
          <w:rFonts w:ascii="Trebuchet MS" w:eastAsia="MS Mincho" w:hAnsi="Trebuchet MS" w:cs="Times New Roman"/>
          <w:lang w:val="ro-RO"/>
        </w:rPr>
        <w:t>itare din domeniului evaluarii impactului asupra mediului respectiv Directiva 2014/52/UE din 16 aprilie 2014, de modificare a Directivei 2011/92/UE privind evaluarea efectelor anumitor proiecte publice și private asupra mediului a fost transpusă în legisla</w:t>
      </w:r>
      <w:r>
        <w:rPr>
          <w:rFonts w:ascii="Trebuchet MS" w:eastAsia="MS Mincho" w:hAnsi="Trebuchet MS" w:cs="Times New Roman"/>
          <w:lang w:val="ro-RO"/>
        </w:rPr>
        <w:t>ț</w:t>
      </w:r>
      <w:r>
        <w:rPr>
          <w:rFonts w:ascii="Trebuchet MS" w:eastAsia="MS Mincho" w:hAnsi="Trebuchet MS" w:cs="Times New Roman"/>
          <w:lang w:val="ro-RO"/>
        </w:rPr>
        <w:t xml:space="preserve">ia națională prin Legea nr. 292/2018 </w:t>
      </w:r>
      <w:r>
        <w:rPr>
          <w:rFonts w:ascii="Trebuchet MS" w:eastAsia="MS Mincho" w:hAnsi="Trebuchet MS" w:cs="Times New Roman"/>
          <w:i/>
          <w:lang w:val="ro-RO"/>
        </w:rPr>
        <w:t>privind evaluarea impactului anumitor proiecte publice şi private asupra mediului.</w:t>
      </w:r>
    </w:p>
    <w:p w:rsidR="00BD4C59" w:rsidRDefault="005A407B">
      <w:pPr>
        <w:spacing w:beforeAutospacing="1" w:afterAutospacing="1"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Prin acest act normativ au fost prevăzute o serie de cerințe legislative prin care trebuie garantată integralitatea și calitatea studii</w:t>
      </w:r>
      <w:r>
        <w:rPr>
          <w:rFonts w:ascii="Trebuchet MS" w:eastAsia="MS Mincho" w:hAnsi="Trebuchet MS" w:cs="Times New Roman"/>
          <w:lang w:val="ro-RO"/>
        </w:rPr>
        <w:t xml:space="preserve">lor pentru protecția mediului. </w:t>
      </w:r>
    </w:p>
    <w:p w:rsidR="00BD4C59" w:rsidRDefault="005A407B">
      <w:pPr>
        <w:spacing w:beforeAutospacing="1" w:afterAutospacing="1"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 xml:space="preserve">Potrivit prevederilor art. 12 din Legea nr. 292/2018  este necesară elaborarea unui ordin de ministru prin care să fie aprobate condiţiile de elaborare a raportului de mediu, a raportului privind impactul asupra mediului, a </w:t>
      </w:r>
      <w:r>
        <w:rPr>
          <w:rFonts w:ascii="Trebuchet MS" w:eastAsia="MS Mincho" w:hAnsi="Trebuchet MS" w:cs="Times New Roman"/>
          <w:lang w:val="ro-RO"/>
        </w:rPr>
        <w:t>bilanţului de mediu, a raportului privind situaţia de referinţă, a raportului de securitate şi a studiului de evaluare adecvată,  Regulamentul de organizare şi funcţionare a Comisiei de atestare și criteriile de atestare a persoanelor fizice și juridice.</w:t>
      </w: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P</w:t>
      </w:r>
      <w:r>
        <w:rPr>
          <w:rFonts w:ascii="Trebuchet MS" w:eastAsia="MS Mincho" w:hAnsi="Trebuchet MS" w:cs="Times New Roman"/>
          <w:lang w:val="ro-RO"/>
        </w:rPr>
        <w:t xml:space="preserve">rocesul de elaborare a proiectului de act normativ a fost unul complex și a presupus o documentare  cu privire la modalitatea recunoașterii expertizei unei persoane fizice sau juridice care intenționează să realizeze această activitate la nivelul UE și în </w:t>
      </w:r>
      <w:r>
        <w:rPr>
          <w:rFonts w:ascii="Trebuchet MS" w:eastAsia="MS Mincho" w:hAnsi="Trebuchet MS" w:cs="Times New Roman"/>
          <w:lang w:val="ro-RO"/>
        </w:rPr>
        <w:t xml:space="preserve">spațiul economic european. De asemenea, s-a realizat o corelare cu prevederile legale în vigoare, respectiv cu Legea nr. 278/2013 </w:t>
      </w:r>
      <w:r>
        <w:rPr>
          <w:rFonts w:ascii="Trebuchet MS" w:eastAsia="MS Mincho" w:hAnsi="Trebuchet MS" w:cs="Times New Roman"/>
          <w:i/>
          <w:lang w:val="ro-RO"/>
        </w:rPr>
        <w:t xml:space="preserve">privind emisiile industriale </w:t>
      </w:r>
      <w:r>
        <w:rPr>
          <w:rFonts w:ascii="Trebuchet MS" w:eastAsia="MS Mincho" w:hAnsi="Trebuchet MS" w:cs="Times New Roman"/>
          <w:lang w:val="ro-RO"/>
        </w:rPr>
        <w:t>ș</w:t>
      </w:r>
      <w:r>
        <w:rPr>
          <w:rFonts w:ascii="Trebuchet MS" w:eastAsia="MS Mincho" w:hAnsi="Trebuchet MS" w:cs="Times New Roman"/>
          <w:lang w:val="ro-RO"/>
        </w:rPr>
        <w:t>i anume cu introducerea printre tipurile de studii de mediu a raportului privind situația de ref</w:t>
      </w:r>
      <w:r>
        <w:rPr>
          <w:rFonts w:ascii="Trebuchet MS" w:eastAsia="MS Mincho" w:hAnsi="Trebuchet MS" w:cs="Times New Roman"/>
          <w:lang w:val="ro-RO"/>
        </w:rPr>
        <w:t>erință (RSR). În egală măsură a fost efectuată și o documentare asupra actelor normative emise în anul 2019 care conțin prevederi cu relevanță pentru acest proiect de act normativ și anume  Legea  nr. 121/2019 privind evaluarea şi gestionarea zgomotului am</w:t>
      </w:r>
      <w:r>
        <w:rPr>
          <w:rFonts w:ascii="Trebuchet MS" w:eastAsia="MS Mincho" w:hAnsi="Trebuchet MS" w:cs="Times New Roman"/>
          <w:lang w:val="ro-RO"/>
        </w:rPr>
        <w:t>biant, în vederea asigurării unei coerențe legislative.</w:t>
      </w:r>
    </w:p>
    <w:p w:rsidR="00BD4C59" w:rsidRDefault="00BD4C59">
      <w:pPr>
        <w:spacing w:after="0" w:line="240" w:lineRule="auto"/>
        <w:jc w:val="both"/>
        <w:rPr>
          <w:rFonts w:ascii="Trebuchet MS" w:eastAsia="MS Mincho" w:hAnsi="Trebuchet MS" w:cs="Times New Roman" w:hint="eastAsia"/>
          <w:lang w:val="ro-RO"/>
        </w:rPr>
      </w:pP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 xml:space="preserve">Prin art. 12 alin. 2 din Legea nr. 292/2018 </w:t>
      </w:r>
      <w:r>
        <w:rPr>
          <w:rFonts w:ascii="Trebuchet MS" w:eastAsia="MS Mincho" w:hAnsi="Trebuchet MS" w:cs="Times New Roman"/>
          <w:i/>
          <w:lang w:val="ro-RO"/>
        </w:rPr>
        <w:t>privind evaluarea impactului anumitor proiecte publice şi private asupra mediului</w:t>
      </w:r>
      <w:r>
        <w:rPr>
          <w:rFonts w:ascii="Trebuchet MS" w:eastAsia="MS Mincho" w:hAnsi="Trebuchet MS" w:cs="Times New Roman"/>
          <w:lang w:val="ro-RO"/>
        </w:rPr>
        <w:t xml:space="preserve"> a fost prevăzut faptul că  experţii sunt persoane fizice şi juridice care au dreptul de a elabora studii de mediu şi care sunt „atestaţi de către comisia de atestare, care funcţionează în cadrul asociaţiei profesionale din domeniul protecţiei mediului, re</w:t>
      </w:r>
      <w:r>
        <w:rPr>
          <w:rFonts w:ascii="Trebuchet MS" w:eastAsia="MS Mincho" w:hAnsi="Trebuchet MS" w:cs="Times New Roman"/>
          <w:lang w:val="ro-RO"/>
        </w:rPr>
        <w:t>cunoscută la nivel naţional”.</w:t>
      </w: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 xml:space="preserve"> </w:t>
      </w: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Experții care vor fi atestați de către Comisia de atestare trebuie  să fie calificați și competenți, pentru a  elabora studii de un nivel ridicat în ceea ce privește calitatea, iar informațiile furnizate de către inițiatorul</w:t>
      </w:r>
      <w:r>
        <w:rPr>
          <w:rFonts w:ascii="Trebuchet MS" w:eastAsia="MS Mincho" w:hAnsi="Trebuchet MS" w:cs="Times New Roman"/>
          <w:lang w:val="ro-RO"/>
        </w:rPr>
        <w:t xml:space="preserve"> proiectului să fie complete în procedura de reglementare.</w:t>
      </w: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În acest sens, titularul planului/programului/strategiei/proiectului/activității  se asigură că studiile de mediu – raportul de mediu, raportul privind impactul asupra mediului,  bilanţul de mediu,</w:t>
      </w:r>
      <w:r>
        <w:rPr>
          <w:rFonts w:ascii="Trebuchet MS" w:eastAsia="MS Mincho" w:hAnsi="Trebuchet MS" w:cs="Times New Roman"/>
          <w:lang w:val="ro-RO"/>
        </w:rPr>
        <w:t xml:space="preserve">  raportul privind situaţia de referinţă, raportul de securitate şi  studiul de evaluare adecvată sunt întocmite de experţi a căror competenţă este recunoscută conform legislaţiei specifice în vigoare.</w:t>
      </w:r>
    </w:p>
    <w:p w:rsidR="00BD4C59" w:rsidRDefault="005A407B">
      <w:pPr>
        <w:spacing w:beforeAutospacing="1" w:afterAutospacing="1"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Prevederea legislativă care să răspundă acestei cerinț</w:t>
      </w:r>
      <w:r>
        <w:rPr>
          <w:rFonts w:ascii="Trebuchet MS" w:eastAsia="MS Mincho" w:hAnsi="Trebuchet MS" w:cs="Times New Roman"/>
          <w:lang w:val="ro-RO"/>
        </w:rPr>
        <w:t xml:space="preserve">e a impus regândirea sistemului de recunoaștere a competențelor specialiștilor implicați în pregătirea studiilor de mediu  prin schimbarea sistemului de înregistrare într-un sistem de atestare.  </w:t>
      </w: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În procesul de elaborare al prezentului ordin, pentru dezvol</w:t>
      </w:r>
      <w:r>
        <w:rPr>
          <w:rFonts w:ascii="Trebuchet MS" w:eastAsia="MS Mincho" w:hAnsi="Trebuchet MS" w:cs="Times New Roman"/>
          <w:lang w:val="ro-RO"/>
        </w:rPr>
        <w:t xml:space="preserve">tarea cadrului legal necesar implementarii  art. 12 alin. 2 din Legea nr. 292/2018 s-a realizat o documentare cu privire la asociațiile profesionale din domeniul protecției mediului constituite în baza prevederilor Ordonanței Guvernului nr. 26/2000 </w:t>
      </w:r>
      <w:r>
        <w:rPr>
          <w:rFonts w:ascii="Trebuchet MS" w:eastAsia="MS Mincho" w:hAnsi="Trebuchet MS" w:cs="Times New Roman"/>
          <w:i/>
          <w:lang w:val="ro-RO"/>
        </w:rPr>
        <w:t>cu priv</w:t>
      </w:r>
      <w:r>
        <w:rPr>
          <w:rFonts w:ascii="Trebuchet MS" w:eastAsia="MS Mincho" w:hAnsi="Trebuchet MS" w:cs="Times New Roman"/>
          <w:i/>
          <w:lang w:val="ro-RO"/>
        </w:rPr>
        <w:t>ire la asociaţii şi fundaţii</w:t>
      </w:r>
      <w:r>
        <w:rPr>
          <w:rFonts w:ascii="Trebuchet MS" w:eastAsia="MS Mincho" w:hAnsi="Trebuchet MS" w:cs="Times New Roman"/>
          <w:lang w:val="ro-RO"/>
        </w:rPr>
        <w:t xml:space="preserve">, aprobată prin Legea nr. 246/2005 cu modificările și completările ulterioare, care desfășoară activități în domeniul protecției mediului și care au fost recunoscute la nivel național ca fiind de utilitate publică </w:t>
      </w:r>
    </w:p>
    <w:p w:rsidR="00BD4C59" w:rsidRDefault="00BD4C59">
      <w:pPr>
        <w:spacing w:after="0" w:line="240" w:lineRule="auto"/>
        <w:jc w:val="both"/>
        <w:rPr>
          <w:rFonts w:ascii="Trebuchet MS" w:eastAsia="MS Mincho" w:hAnsi="Trebuchet MS" w:cs="Times New Roman" w:hint="eastAsia"/>
          <w:lang w:val="ro-RO"/>
        </w:rPr>
      </w:pPr>
    </w:p>
    <w:p w:rsidR="00BD4C59" w:rsidRDefault="005A407B">
      <w:pPr>
        <w:spacing w:after="0"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Așadar în ca</w:t>
      </w:r>
      <w:r>
        <w:rPr>
          <w:rFonts w:ascii="Trebuchet MS" w:eastAsia="MS Mincho" w:hAnsi="Trebuchet MS" w:cs="Times New Roman"/>
          <w:lang w:val="ro-RO"/>
        </w:rPr>
        <w:t xml:space="preserve">drul proiectului de ordin au fost incluse cerințele necesare pentru desemnarea asociațiilor profesionale din domeniul protecției mediului, în cadrul cărora va funcționa  o Comisie de atestare. </w:t>
      </w:r>
    </w:p>
    <w:p w:rsidR="00BD4C59" w:rsidRDefault="005A407B">
      <w:pPr>
        <w:spacing w:after="0" w:line="240" w:lineRule="auto"/>
        <w:ind w:left="1080"/>
        <w:jc w:val="both"/>
      </w:pPr>
      <w:r>
        <w:rPr>
          <w:rFonts w:ascii="Trebuchet MS" w:eastAsia="MS Mincho" w:hAnsi="Trebuchet MS" w:cs="Times New Roman"/>
          <w:lang w:val="ro-RO"/>
        </w:rPr>
        <w:t>De asemenea proiectul de ordin conține prevederi tranzitorii c</w:t>
      </w:r>
      <w:r>
        <w:rPr>
          <w:rFonts w:ascii="Trebuchet MS" w:eastAsia="MS Mincho" w:hAnsi="Trebuchet MS" w:cs="Times New Roman"/>
          <w:lang w:val="ro-RO"/>
        </w:rPr>
        <w:t>are au drept scop asigurarea continuării activității de elaborare de studii de mediu de către persoanele fizice și juridice care sunt înscrise în Registrul național și ale căror certificate au expirat începând cu luna mai 2019  și vor continua să își piard</w:t>
      </w:r>
      <w:r>
        <w:rPr>
          <w:rFonts w:ascii="Trebuchet MS" w:eastAsia="MS Mincho" w:hAnsi="Trebuchet MS" w:cs="Times New Roman"/>
          <w:lang w:val="ro-RO"/>
        </w:rPr>
        <w:t xml:space="preserve">a valabilitatea până la intrarea în vigoare a prezentului ordin.  </w:t>
      </w:r>
    </w:p>
    <w:p w:rsidR="00BD4C59" w:rsidRDefault="005A407B">
      <w:pPr>
        <w:spacing w:beforeAutospacing="1" w:afterAutospacing="1" w:line="240" w:lineRule="auto"/>
        <w:ind w:left="1080"/>
        <w:jc w:val="both"/>
        <w:rPr>
          <w:rFonts w:ascii="Trebuchet MS" w:eastAsia="MS Mincho" w:hAnsi="Trebuchet MS" w:cs="Times New Roman" w:hint="eastAsia"/>
          <w:lang w:val="ro-RO"/>
        </w:rPr>
      </w:pPr>
      <w:r>
        <w:rPr>
          <w:rFonts w:ascii="Trebuchet MS" w:eastAsia="MS Mincho" w:hAnsi="Trebuchet MS" w:cs="Times New Roman"/>
          <w:lang w:val="ro-RO"/>
        </w:rPr>
        <w:t xml:space="preserve">Având în vedere cele de mai sus, vă rugăm să fiți de acord cu aprobarea prezentului Ordin privind aprobarea condiţiilor de elaborare a </w:t>
      </w:r>
      <w:r w:rsidR="005D7E28">
        <w:rPr>
          <w:rFonts w:ascii="Trebuchet MS" w:eastAsia="MS Mincho" w:hAnsi="Trebuchet MS" w:cs="Times New Roman"/>
          <w:lang w:val="ro-RO"/>
        </w:rPr>
        <w:t>studiilor de mediu</w:t>
      </w:r>
      <w:r>
        <w:rPr>
          <w:rFonts w:ascii="Trebuchet MS" w:eastAsia="MS Mincho" w:hAnsi="Trebuchet MS" w:cs="Times New Roman"/>
          <w:lang w:val="ro-RO"/>
        </w:rPr>
        <w:t xml:space="preserve">,  </w:t>
      </w:r>
      <w:r w:rsidR="005D7E28">
        <w:rPr>
          <w:rFonts w:ascii="Trebuchet MS" w:eastAsia="MS Mincho" w:hAnsi="Trebuchet MS" w:cs="Times New Roman"/>
          <w:lang w:val="ro-RO"/>
        </w:rPr>
        <w:t>a criteriilor de atestare a persoanelo</w:t>
      </w:r>
      <w:r w:rsidR="005D7E28">
        <w:rPr>
          <w:rFonts w:ascii="Trebuchet MS" w:eastAsia="MS Mincho" w:hAnsi="Trebuchet MS" w:cs="Times New Roman"/>
          <w:lang w:val="ro-RO"/>
        </w:rPr>
        <w:t xml:space="preserve">r fizice și juridice și a componenței și </w:t>
      </w:r>
      <w:r>
        <w:rPr>
          <w:rFonts w:ascii="Trebuchet MS" w:eastAsia="MS Mincho" w:hAnsi="Trebuchet MS" w:cs="Times New Roman"/>
          <w:lang w:val="ro-RO"/>
        </w:rPr>
        <w:t>Regulamentului de organizare şi funcţ</w:t>
      </w:r>
      <w:r w:rsidR="005D7E28">
        <w:rPr>
          <w:rFonts w:ascii="Trebuchet MS" w:eastAsia="MS Mincho" w:hAnsi="Trebuchet MS" w:cs="Times New Roman"/>
          <w:lang w:val="ro-RO"/>
        </w:rPr>
        <w:t>ionare a Comisiei de atestare.</w:t>
      </w:r>
      <w:r>
        <w:rPr>
          <w:rFonts w:ascii="Trebuchet MS" w:eastAsia="MS Mincho" w:hAnsi="Trebuchet MS" w:cs="Times New Roman"/>
          <w:lang w:val="ro-RO"/>
        </w:rPr>
        <w:t xml:space="preserve"> </w:t>
      </w:r>
    </w:p>
    <w:p w:rsidR="00BD4C59" w:rsidRDefault="00BD4C59">
      <w:pPr>
        <w:spacing w:before="120" w:after="120" w:line="240" w:lineRule="auto"/>
        <w:jc w:val="both"/>
        <w:rPr>
          <w:rFonts w:ascii="Trebuchet MS" w:eastAsia="MS Mincho" w:hAnsi="Trebuchet MS" w:cs="Times New Roman" w:hint="eastAsia"/>
          <w:lang w:val="ro-RO"/>
        </w:rPr>
      </w:pPr>
    </w:p>
    <w:p w:rsidR="00BD4C59" w:rsidRDefault="00BD4C59">
      <w:pPr>
        <w:spacing w:before="120" w:after="120" w:line="240" w:lineRule="auto"/>
        <w:ind w:left="1440"/>
        <w:jc w:val="both"/>
        <w:rPr>
          <w:rFonts w:ascii="Trebuchet MS" w:eastAsia="MS Mincho" w:hAnsi="Trebuchet MS" w:cs="Times New Roman" w:hint="eastAsia"/>
          <w:lang w:val="ro-RO"/>
        </w:rPr>
      </w:pPr>
    </w:p>
    <w:p w:rsidR="00BD4C59" w:rsidRDefault="005A407B">
      <w:pPr>
        <w:spacing w:before="120" w:after="120" w:line="240" w:lineRule="auto"/>
        <w:ind w:left="1440"/>
        <w:jc w:val="center"/>
        <w:rPr>
          <w:rFonts w:ascii="Trebuchet MS" w:eastAsia="MS Mincho" w:hAnsi="Trebuchet MS" w:cs="Times New Roman" w:hint="eastAsia"/>
          <w:b/>
          <w:lang w:val="ro-RO"/>
        </w:rPr>
      </w:pPr>
      <w:r>
        <w:rPr>
          <w:rFonts w:ascii="Trebuchet MS" w:eastAsia="MS Mincho" w:hAnsi="Trebuchet MS" w:cs="Times New Roman"/>
          <w:b/>
          <w:lang w:val="ro-RO"/>
        </w:rPr>
        <w:t>Director General</w:t>
      </w:r>
    </w:p>
    <w:p w:rsidR="00BD4C59" w:rsidRDefault="005A407B">
      <w:pPr>
        <w:spacing w:before="120" w:after="120" w:line="240" w:lineRule="auto"/>
        <w:ind w:left="1440"/>
        <w:jc w:val="center"/>
        <w:rPr>
          <w:rFonts w:ascii="Trebuchet MS" w:eastAsia="MS Mincho" w:hAnsi="Trebuchet MS" w:cs="Times New Roman" w:hint="eastAsia"/>
          <w:b/>
          <w:lang w:val="ro-RO"/>
        </w:rPr>
      </w:pPr>
      <w:r>
        <w:rPr>
          <w:rFonts w:ascii="Trebuchet MS" w:eastAsia="MS Mincho" w:hAnsi="Trebuchet MS" w:cs="Times New Roman"/>
          <w:b/>
          <w:lang w:val="ro-RO"/>
        </w:rPr>
        <w:t>Dorina MOCANU</w:t>
      </w:r>
    </w:p>
    <w:p w:rsidR="00BD4C59" w:rsidRDefault="00BD4C59">
      <w:pPr>
        <w:spacing w:before="120" w:after="120" w:line="240" w:lineRule="auto"/>
        <w:ind w:left="1440"/>
        <w:jc w:val="both"/>
      </w:pPr>
    </w:p>
    <w:sectPr w:rsidR="00BD4C59">
      <w:footerReference w:type="default" r:id="rId7"/>
      <w:pgSz w:w="11906" w:h="16838"/>
      <w:pgMar w:top="630" w:right="837" w:bottom="1350" w:left="1440" w:header="0" w:footer="28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7B" w:rsidRDefault="005A407B">
      <w:pPr>
        <w:spacing w:after="0" w:line="240" w:lineRule="auto"/>
      </w:pPr>
      <w:r>
        <w:separator/>
      </w:r>
    </w:p>
  </w:endnote>
  <w:endnote w:type="continuationSeparator" w:id="0">
    <w:p w:rsidR="005A407B" w:rsidRDefault="005A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349143"/>
      <w:docPartObj>
        <w:docPartGallery w:val="Page Numbers (Bottom of Page)"/>
        <w:docPartUnique/>
      </w:docPartObj>
    </w:sdtPr>
    <w:sdtEndPr/>
    <w:sdtContent>
      <w:p w:rsidR="00BD4C59" w:rsidRDefault="00BD4C59">
        <w:pPr>
          <w:pStyle w:val="Footer"/>
          <w:jc w:val="right"/>
        </w:pPr>
      </w:p>
      <w:p w:rsidR="00BD4C59" w:rsidRDefault="005A407B">
        <w:pPr>
          <w:pStyle w:val="Footer"/>
          <w:jc w:val="center"/>
        </w:pPr>
        <w:r>
          <w:t xml:space="preserve">                                                                                                                                                                                       </w:t>
        </w:r>
        <w:r>
          <w:fldChar w:fldCharType="begin"/>
        </w:r>
        <w:r>
          <w:instrText>PAGE</w:instrText>
        </w:r>
        <w:r>
          <w:fldChar w:fldCharType="separate"/>
        </w:r>
        <w:r w:rsidR="00070848">
          <w:rPr>
            <w:noProof/>
          </w:rPr>
          <w:t>2</w:t>
        </w:r>
        <w:r>
          <w:fldChar w:fldCharType="end"/>
        </w:r>
      </w:p>
    </w:sdtContent>
  </w:sdt>
  <w:p w:rsidR="00BD4C59" w:rsidRDefault="00BD4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7B" w:rsidRDefault="005A407B">
      <w:pPr>
        <w:spacing w:after="0" w:line="240" w:lineRule="auto"/>
      </w:pPr>
      <w:r>
        <w:separator/>
      </w:r>
    </w:p>
  </w:footnote>
  <w:footnote w:type="continuationSeparator" w:id="0">
    <w:p w:rsidR="005A407B" w:rsidRDefault="005A4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59"/>
    <w:rsid w:val="00070848"/>
    <w:rsid w:val="005A407B"/>
    <w:rsid w:val="005D7E28"/>
    <w:rsid w:val="00BD4C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F164DACA-6A88-431B-8AF0-C7C68E6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760A"/>
    <w:rPr>
      <w:rFonts w:ascii="Tahoma" w:hAnsi="Tahoma" w:cs="Tahoma"/>
      <w:sz w:val="16"/>
      <w:szCs w:val="16"/>
    </w:rPr>
  </w:style>
  <w:style w:type="character" w:styleId="Strong">
    <w:name w:val="Strong"/>
    <w:basedOn w:val="DefaultParagraphFont"/>
    <w:uiPriority w:val="22"/>
    <w:qFormat/>
    <w:rsid w:val="00837CAC"/>
    <w:rPr>
      <w:b/>
      <w:bCs/>
    </w:rPr>
  </w:style>
  <w:style w:type="character" w:customStyle="1" w:styleId="HeaderChar">
    <w:name w:val="Header Char"/>
    <w:basedOn w:val="DefaultParagraphFont"/>
    <w:link w:val="Header"/>
    <w:uiPriority w:val="99"/>
    <w:qFormat/>
    <w:rsid w:val="009132AD"/>
  </w:style>
  <w:style w:type="character" w:customStyle="1" w:styleId="FooterChar">
    <w:name w:val="Footer Char"/>
    <w:basedOn w:val="DefaultParagraphFont"/>
    <w:link w:val="Footer"/>
    <w:uiPriority w:val="99"/>
    <w:qFormat/>
    <w:rsid w:val="009132AD"/>
  </w:style>
  <w:style w:type="character" w:customStyle="1" w:styleId="ListLabel1">
    <w:name w:val="ListLabel 1"/>
    <w:qFormat/>
    <w:rPr>
      <w:color w:val="80808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BalloonText">
    <w:name w:val="Balloon Text"/>
    <w:basedOn w:val="Normal"/>
    <w:link w:val="BalloonTextChar"/>
    <w:uiPriority w:val="99"/>
    <w:semiHidden/>
    <w:unhideWhenUsed/>
    <w:qFormat/>
    <w:rsid w:val="007D760A"/>
    <w:pPr>
      <w:spacing w:after="0" w:line="240" w:lineRule="auto"/>
    </w:pPr>
    <w:rPr>
      <w:rFonts w:ascii="Tahoma" w:hAnsi="Tahoma" w:cs="Tahoma"/>
      <w:sz w:val="16"/>
      <w:szCs w:val="16"/>
    </w:rPr>
  </w:style>
  <w:style w:type="paragraph" w:styleId="NoSpacing">
    <w:name w:val="No Spacing"/>
    <w:uiPriority w:val="1"/>
    <w:qFormat/>
    <w:rsid w:val="00A140C4"/>
  </w:style>
  <w:style w:type="paragraph" w:styleId="ListParagraph">
    <w:name w:val="List Paragraph"/>
    <w:basedOn w:val="Normal"/>
    <w:uiPriority w:val="34"/>
    <w:qFormat/>
    <w:rsid w:val="00AE3FF6"/>
    <w:pPr>
      <w:ind w:left="720"/>
      <w:contextualSpacing/>
    </w:pPr>
  </w:style>
  <w:style w:type="paragraph" w:customStyle="1" w:styleId="bullet1">
    <w:name w:val="bullet1"/>
    <w:basedOn w:val="Normal"/>
    <w:qFormat/>
    <w:rsid w:val="00335628"/>
    <w:pPr>
      <w:spacing w:before="40" w:after="40" w:line="240" w:lineRule="auto"/>
    </w:pPr>
    <w:rPr>
      <w:rFonts w:ascii="Trebuchet MS" w:eastAsia="Times New Roman" w:hAnsi="Trebuchet MS" w:cs="Times New Roman"/>
      <w:sz w:val="20"/>
      <w:szCs w:val="24"/>
      <w:lang w:val="ro-RO"/>
    </w:rPr>
  </w:style>
  <w:style w:type="paragraph" w:styleId="Header">
    <w:name w:val="header"/>
    <w:basedOn w:val="Normal"/>
    <w:link w:val="HeaderChar"/>
    <w:uiPriority w:val="99"/>
    <w:unhideWhenUsed/>
    <w:rsid w:val="009132AD"/>
    <w:pPr>
      <w:tabs>
        <w:tab w:val="center" w:pos="4680"/>
        <w:tab w:val="right" w:pos="9360"/>
      </w:tabs>
      <w:spacing w:after="0" w:line="240" w:lineRule="auto"/>
    </w:pPr>
  </w:style>
  <w:style w:type="paragraph" w:styleId="Footer">
    <w:name w:val="footer"/>
    <w:basedOn w:val="Normal"/>
    <w:link w:val="FooterChar"/>
    <w:uiPriority w:val="99"/>
    <w:unhideWhenUsed/>
    <w:rsid w:val="009132A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Apreutesei</dc:creator>
  <dc:description/>
  <cp:lastModifiedBy/>
  <cp:revision>5</cp:revision>
  <cp:lastPrinted>2020-02-18T11:25:00Z</cp:lastPrinted>
  <dcterms:created xsi:type="dcterms:W3CDTF">2020-02-18T16:01:00Z</dcterms:created>
  <dcterms:modified xsi:type="dcterms:W3CDTF">2020-02-18T19:01:00Z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