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Ind w:w="137" w:type="dxa"/>
        <w:tblCellMar>
          <w:left w:w="10" w:type="dxa"/>
          <w:right w:w="10" w:type="dxa"/>
        </w:tblCellMar>
        <w:tblLook w:val="0000" w:firstRow="0" w:lastRow="0" w:firstColumn="0" w:lastColumn="0" w:noHBand="0" w:noVBand="0"/>
      </w:tblPr>
      <w:tblGrid>
        <w:gridCol w:w="9213"/>
      </w:tblGrid>
      <w:tr w:rsidR="00B37BD1">
        <w:tc>
          <w:tcPr>
            <w:tcW w:w="9213" w:type="dxa"/>
            <w:shd w:val="clear" w:color="auto" w:fill="auto"/>
            <w:tcMar>
              <w:top w:w="0" w:type="dxa"/>
              <w:left w:w="108" w:type="dxa"/>
              <w:bottom w:w="0" w:type="dxa"/>
              <w:right w:w="108" w:type="dxa"/>
            </w:tcMar>
          </w:tcPr>
          <w:p w:rsidR="00B37BD1" w:rsidRDefault="00B37BD1" w:rsidP="006348F9">
            <w:pPr>
              <w:suppressAutoHyphens w:val="0"/>
              <w:spacing w:after="0" w:line="240" w:lineRule="auto"/>
              <w:jc w:val="left"/>
              <w:rPr>
                <w:rFonts w:ascii="Trebuchet MS" w:eastAsia="Times New Roman" w:hAnsi="Trebuchet MS"/>
                <w:b/>
                <w:sz w:val="21"/>
                <w:szCs w:val="21"/>
                <w:lang w:val="ro-RO"/>
              </w:rPr>
            </w:pPr>
          </w:p>
        </w:tc>
      </w:tr>
      <w:tr w:rsidR="00B37BD1">
        <w:tc>
          <w:tcPr>
            <w:tcW w:w="9213" w:type="dxa"/>
            <w:shd w:val="clear" w:color="auto" w:fill="auto"/>
            <w:tcMar>
              <w:top w:w="0" w:type="dxa"/>
              <w:left w:w="108" w:type="dxa"/>
              <w:bottom w:w="0" w:type="dxa"/>
              <w:right w:w="108" w:type="dxa"/>
            </w:tcMar>
          </w:tcPr>
          <w:p w:rsidR="00B37BD1" w:rsidRDefault="00B37BD1">
            <w:pPr>
              <w:tabs>
                <w:tab w:val="left" w:pos="6330"/>
              </w:tabs>
              <w:spacing w:line="240" w:lineRule="auto"/>
              <w:rPr>
                <w:rFonts w:ascii="Trebuchet MS" w:eastAsia="Times New Roman" w:hAnsi="Trebuchet MS"/>
                <w:b/>
                <w:sz w:val="21"/>
                <w:szCs w:val="21"/>
                <w:lang w:val="ro-RO"/>
              </w:rPr>
            </w:pPr>
          </w:p>
        </w:tc>
      </w:tr>
      <w:tr w:rsidR="00B37BD1">
        <w:tc>
          <w:tcPr>
            <w:tcW w:w="9213" w:type="dxa"/>
            <w:shd w:val="clear" w:color="auto" w:fill="auto"/>
            <w:tcMar>
              <w:top w:w="0" w:type="dxa"/>
              <w:left w:w="108" w:type="dxa"/>
              <w:bottom w:w="0" w:type="dxa"/>
              <w:right w:w="108" w:type="dxa"/>
            </w:tcMar>
          </w:tcPr>
          <w:p w:rsidR="00B37BD1" w:rsidRDefault="00B37BD1">
            <w:pPr>
              <w:spacing w:after="0" w:line="240" w:lineRule="auto"/>
              <w:jc w:val="left"/>
              <w:rPr>
                <w:rFonts w:ascii="Trebuchet MS" w:eastAsia="Times New Roman" w:hAnsi="Trebuchet MS"/>
                <w:sz w:val="21"/>
                <w:szCs w:val="21"/>
                <w:lang w:val="ro-RO"/>
              </w:rPr>
            </w:pPr>
          </w:p>
        </w:tc>
      </w:tr>
    </w:tbl>
    <w:p w:rsidR="00B37BD1" w:rsidRDefault="00B37BD1">
      <w:pPr>
        <w:spacing w:line="288" w:lineRule="auto"/>
        <w:jc w:val="left"/>
        <w:rPr>
          <w:rFonts w:ascii="Trebuchet MS" w:eastAsia="Times New Roman" w:hAnsi="Trebuchet MS"/>
          <w:sz w:val="21"/>
          <w:szCs w:val="21"/>
          <w:lang w:val="ro-RO"/>
        </w:rPr>
      </w:pPr>
    </w:p>
    <w:tbl>
      <w:tblPr>
        <w:tblW w:w="9776" w:type="dxa"/>
        <w:tblCellMar>
          <w:left w:w="10" w:type="dxa"/>
          <w:right w:w="10" w:type="dxa"/>
        </w:tblCellMar>
        <w:tblLook w:val="0000" w:firstRow="0" w:lastRow="0" w:firstColumn="0" w:lastColumn="0" w:noHBand="0" w:noVBand="0"/>
      </w:tblPr>
      <w:tblGrid>
        <w:gridCol w:w="4957"/>
        <w:gridCol w:w="4819"/>
      </w:tblGrid>
      <w:tr w:rsidR="00B37BD1" w:rsidTr="00D960DF">
        <w:trPr>
          <w:trHeight w:val="80"/>
        </w:trPr>
        <w:tc>
          <w:tcPr>
            <w:tcW w:w="4957" w:type="dxa"/>
            <w:shd w:val="clear" w:color="auto" w:fill="auto"/>
            <w:tcMar>
              <w:top w:w="0" w:type="dxa"/>
              <w:left w:w="108" w:type="dxa"/>
              <w:bottom w:w="0" w:type="dxa"/>
              <w:right w:w="108" w:type="dxa"/>
            </w:tcMar>
          </w:tcPr>
          <w:p w:rsidR="00B37BD1" w:rsidRDefault="00D55F51" w:rsidP="00227CD2">
            <w:pPr>
              <w:suppressAutoHyphens w:val="0"/>
              <w:spacing w:after="0" w:line="240" w:lineRule="auto"/>
              <w:jc w:val="left"/>
              <w:rPr>
                <w:rFonts w:ascii="Trebuchet MS" w:eastAsia="Times New Roman" w:hAnsi="Trebuchet MS"/>
                <w:b/>
                <w:sz w:val="21"/>
                <w:szCs w:val="21"/>
                <w:lang w:val="ro-RO"/>
              </w:rPr>
            </w:pPr>
            <w:r w:rsidRPr="00A11199">
              <w:rPr>
                <w:rFonts w:ascii="Times New Roman" w:eastAsia="Times New Roman" w:hAnsi="Times New Roman"/>
                <w:b/>
                <w:lang w:val="ro-RO"/>
              </w:rPr>
              <w:t xml:space="preserve"> </w:t>
            </w:r>
          </w:p>
        </w:tc>
        <w:tc>
          <w:tcPr>
            <w:tcW w:w="4819" w:type="dxa"/>
            <w:shd w:val="clear" w:color="auto" w:fill="auto"/>
            <w:tcMar>
              <w:top w:w="0" w:type="dxa"/>
              <w:left w:w="108" w:type="dxa"/>
              <w:bottom w:w="0" w:type="dxa"/>
              <w:right w:w="108" w:type="dxa"/>
            </w:tcMar>
          </w:tcPr>
          <w:p w:rsidR="00B37BD1" w:rsidRDefault="00B37BD1">
            <w:pPr>
              <w:spacing w:after="0" w:line="240" w:lineRule="auto"/>
              <w:jc w:val="left"/>
              <w:rPr>
                <w:rFonts w:ascii="Trebuchet MS" w:eastAsia="Times New Roman" w:hAnsi="Trebuchet MS"/>
                <w:sz w:val="21"/>
                <w:szCs w:val="21"/>
              </w:rPr>
            </w:pPr>
          </w:p>
        </w:tc>
      </w:tr>
      <w:tr w:rsidR="00B37BD1">
        <w:tc>
          <w:tcPr>
            <w:tcW w:w="4957" w:type="dxa"/>
            <w:shd w:val="clear" w:color="auto" w:fill="auto"/>
            <w:tcMar>
              <w:top w:w="0" w:type="dxa"/>
              <w:left w:w="108" w:type="dxa"/>
              <w:bottom w:w="0" w:type="dxa"/>
              <w:right w:w="108" w:type="dxa"/>
            </w:tcMar>
          </w:tcPr>
          <w:p w:rsidR="00B37BD1" w:rsidRDefault="00B37BD1">
            <w:pPr>
              <w:spacing w:after="0" w:line="240" w:lineRule="auto"/>
              <w:jc w:val="left"/>
              <w:rPr>
                <w:rFonts w:ascii="Trebuchet MS" w:eastAsia="Times New Roman" w:hAnsi="Trebuchet MS"/>
                <w:sz w:val="21"/>
                <w:szCs w:val="21"/>
              </w:rPr>
            </w:pPr>
          </w:p>
        </w:tc>
        <w:tc>
          <w:tcPr>
            <w:tcW w:w="4819" w:type="dxa"/>
            <w:shd w:val="clear" w:color="auto" w:fill="auto"/>
            <w:tcMar>
              <w:top w:w="0" w:type="dxa"/>
              <w:left w:w="108" w:type="dxa"/>
              <w:bottom w:w="0" w:type="dxa"/>
              <w:right w:w="108" w:type="dxa"/>
            </w:tcMar>
          </w:tcPr>
          <w:p w:rsidR="00B37BD1" w:rsidRDefault="00B37BD1">
            <w:pPr>
              <w:spacing w:after="0" w:line="240" w:lineRule="auto"/>
              <w:jc w:val="left"/>
              <w:rPr>
                <w:rFonts w:ascii="Trebuchet MS" w:eastAsia="Times New Roman" w:hAnsi="Trebuchet MS"/>
                <w:sz w:val="21"/>
                <w:szCs w:val="21"/>
              </w:rPr>
            </w:pPr>
          </w:p>
        </w:tc>
      </w:tr>
    </w:tbl>
    <w:p w:rsidR="00B37BD1" w:rsidRDefault="00D55F51">
      <w:pPr>
        <w:spacing w:line="288" w:lineRule="auto"/>
        <w:jc w:val="left"/>
      </w:pPr>
      <w:r>
        <w:rPr>
          <w:rFonts w:eastAsia="Times New Roman"/>
          <w:noProof/>
          <w:sz w:val="21"/>
          <w:szCs w:val="21"/>
        </w:rPr>
        <w:drawing>
          <wp:anchor distT="0" distB="0" distL="114300" distR="114300" simplePos="0" relativeHeight="251661312" behindDoc="0" locked="0" layoutInCell="1" allowOverlap="1">
            <wp:simplePos x="0" y="0"/>
            <wp:positionH relativeFrom="column">
              <wp:posOffset>-171450</wp:posOffset>
            </wp:positionH>
            <wp:positionV relativeFrom="page">
              <wp:posOffset>647066</wp:posOffset>
            </wp:positionV>
            <wp:extent cx="3230876" cy="895983"/>
            <wp:effectExtent l="0" t="0" r="7624" b="0"/>
            <wp:wrapTopAndBottom/>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230876" cy="895983"/>
                    </a:xfrm>
                    <a:prstGeom prst="rect">
                      <a:avLst/>
                    </a:prstGeom>
                    <a:noFill/>
                    <a:ln>
                      <a:noFill/>
                      <a:prstDash/>
                    </a:ln>
                  </pic:spPr>
                </pic:pic>
              </a:graphicData>
            </a:graphic>
          </wp:anchor>
        </w:drawing>
      </w:r>
      <w:r>
        <w:rPr>
          <w:rFonts w:ascii="Trebuchet MS" w:eastAsia="Times New Roman" w:hAnsi="Trebuchet MS"/>
          <w:sz w:val="21"/>
          <w:szCs w:val="21"/>
          <w:lang w:val="ro-RO"/>
        </w:rPr>
        <w:t>DIRECȚIA GENERALĂ DEȘEURI, SITURI CONTAMINATE ȘI SUBSTANȚE PERICULOASE</w:t>
      </w:r>
    </w:p>
    <w:p w:rsidR="00B37BD1" w:rsidRDefault="00D960DF">
      <w:pPr>
        <w:spacing w:line="240" w:lineRule="auto"/>
        <w:rPr>
          <w:rFonts w:ascii="Trebuchet MS" w:eastAsia="Times New Roman" w:hAnsi="Trebuchet MS"/>
          <w:sz w:val="21"/>
          <w:szCs w:val="21"/>
          <w:lang w:val="ro-RO"/>
        </w:rPr>
      </w:pPr>
      <w:r>
        <w:rPr>
          <w:rFonts w:ascii="Trebuchet MS" w:eastAsia="Times New Roman" w:hAnsi="Trebuchet MS"/>
          <w:sz w:val="21"/>
          <w:szCs w:val="21"/>
          <w:lang w:val="ro-RO"/>
        </w:rPr>
        <w:t>Nr. 105642</w:t>
      </w:r>
      <w:r w:rsidR="00D55F51">
        <w:rPr>
          <w:rFonts w:ascii="Trebuchet MS" w:eastAsia="Times New Roman" w:hAnsi="Trebuchet MS"/>
          <w:sz w:val="21"/>
          <w:szCs w:val="21"/>
          <w:lang w:val="ro-RO"/>
        </w:rPr>
        <w:t>/DGDSCSP/</w:t>
      </w:r>
      <w:r w:rsidR="00A11199">
        <w:rPr>
          <w:rFonts w:ascii="Trebuchet MS" w:eastAsia="Times New Roman" w:hAnsi="Trebuchet MS"/>
          <w:sz w:val="21"/>
          <w:szCs w:val="21"/>
          <w:lang w:val="ro-RO"/>
        </w:rPr>
        <w:t>11.03</w:t>
      </w:r>
      <w:r w:rsidR="00D55F51">
        <w:rPr>
          <w:rFonts w:ascii="Trebuchet MS" w:eastAsia="Times New Roman" w:hAnsi="Trebuchet MS"/>
          <w:sz w:val="21"/>
          <w:szCs w:val="21"/>
          <w:lang w:val="ro-RO"/>
        </w:rPr>
        <w:t>.2020</w:t>
      </w:r>
    </w:p>
    <w:p w:rsidR="00B37BD1" w:rsidRDefault="00D55F51">
      <w:pPr>
        <w:spacing w:line="240" w:lineRule="auto"/>
        <w:jc w:val="center"/>
        <w:rPr>
          <w:rFonts w:ascii="Trebuchet MS" w:eastAsia="Times New Roman" w:hAnsi="Trebuchet MS"/>
          <w:b/>
          <w:sz w:val="21"/>
          <w:szCs w:val="21"/>
          <w:lang w:val="ro-RO"/>
        </w:rPr>
      </w:pPr>
      <w:r>
        <w:rPr>
          <w:rFonts w:ascii="Trebuchet MS" w:eastAsia="Times New Roman" w:hAnsi="Trebuchet MS"/>
          <w:b/>
          <w:sz w:val="21"/>
          <w:szCs w:val="21"/>
          <w:lang w:val="ro-RO"/>
        </w:rPr>
        <w:t>REFERAT DE APROBARE</w:t>
      </w:r>
    </w:p>
    <w:p w:rsidR="00A11199" w:rsidRDefault="00A11199">
      <w:pPr>
        <w:spacing w:line="240" w:lineRule="auto"/>
        <w:jc w:val="center"/>
        <w:rPr>
          <w:rFonts w:ascii="Trebuchet MS" w:eastAsia="Times New Roman" w:hAnsi="Trebuchet MS"/>
          <w:sz w:val="21"/>
          <w:szCs w:val="21"/>
          <w:lang w:val="ro-RO"/>
        </w:rPr>
      </w:pPr>
    </w:p>
    <w:p w:rsidR="00B37BD1" w:rsidRDefault="00D55F51">
      <w:pPr>
        <w:spacing w:line="240" w:lineRule="auto"/>
        <w:jc w:val="center"/>
        <w:rPr>
          <w:rFonts w:ascii="Trebuchet MS" w:eastAsia="Times New Roman" w:hAnsi="Trebuchet MS"/>
          <w:sz w:val="21"/>
          <w:szCs w:val="21"/>
          <w:lang w:val="ro-RO"/>
        </w:rPr>
      </w:pPr>
      <w:r>
        <w:rPr>
          <w:rFonts w:ascii="Trebuchet MS" w:eastAsia="Times New Roman" w:hAnsi="Trebuchet MS"/>
          <w:sz w:val="21"/>
          <w:szCs w:val="21"/>
          <w:lang w:val="ro-RO"/>
        </w:rPr>
        <w:t>a Ordinului privind aprobarea Metodologiei de investigare a siturilor potențial contaminate și a celor contaminate</w:t>
      </w:r>
    </w:p>
    <w:p w:rsidR="00A11199" w:rsidRDefault="00A11199">
      <w:pPr>
        <w:spacing w:line="240" w:lineRule="auto"/>
        <w:rPr>
          <w:rFonts w:ascii="Trebuchet MS" w:eastAsia="Times New Roman" w:hAnsi="Trebuchet MS"/>
          <w:sz w:val="21"/>
          <w:szCs w:val="21"/>
          <w:lang w:val="ro-RO"/>
        </w:rPr>
      </w:pPr>
    </w:p>
    <w:p w:rsidR="00B37BD1" w:rsidRDefault="00D55F51">
      <w:pPr>
        <w:spacing w:line="240" w:lineRule="auto"/>
        <w:rPr>
          <w:rFonts w:ascii="Trebuchet MS" w:eastAsia="Times New Roman" w:hAnsi="Trebuchet MS"/>
          <w:sz w:val="21"/>
          <w:szCs w:val="21"/>
          <w:lang w:val="ro-RO"/>
        </w:rPr>
      </w:pPr>
      <w:r>
        <w:rPr>
          <w:rFonts w:ascii="Trebuchet MS" w:eastAsia="Times New Roman" w:hAnsi="Trebuchet MS"/>
          <w:sz w:val="21"/>
          <w:szCs w:val="21"/>
          <w:lang w:val="ro-RO"/>
        </w:rPr>
        <w:t>Prezentul referat de aprobare este elaborat în conformitate cu prevederile art.6 alin.(3) și art.30 alin.(1) lit. c) și alin.(2) din Legea nr.24/2000, republicată, privind normele de tehnică legislativă pentru elaborarea actelor normative, republicată, cu modificările și completările ulterioare, reprezentând instrumentul de prezentare și motivare a proiectului de ordin comun privind aprobarea Metodologiei de investigare a siturilor potențial contaminate și a celor contaminate.</w:t>
      </w:r>
    </w:p>
    <w:p w:rsidR="00B37BD1" w:rsidRPr="00A11199" w:rsidRDefault="00D55F51">
      <w:pPr>
        <w:spacing w:line="240" w:lineRule="auto"/>
      </w:pPr>
      <w:r>
        <w:rPr>
          <w:rFonts w:ascii="Trebuchet MS" w:eastAsia="Times New Roman" w:hAnsi="Trebuchet MS"/>
          <w:sz w:val="21"/>
          <w:szCs w:val="21"/>
          <w:lang w:val="ro-RO"/>
        </w:rPr>
        <w:t>Baza legală a proiectului de ordin comun supus aprobării o constituie prevederile articolului 27 din Legea nr.74/2019 privind gestionarea siturilor potențial contaminate și a celor contami</w:t>
      </w:r>
      <w:r w:rsidR="00A11199">
        <w:rPr>
          <w:rFonts w:ascii="Trebuchet MS" w:eastAsia="Times New Roman" w:hAnsi="Trebuchet MS"/>
          <w:sz w:val="21"/>
          <w:szCs w:val="21"/>
          <w:lang w:val="ro-RO"/>
        </w:rPr>
        <w:t>nate. Potrivit acestui articol „</w:t>
      </w:r>
      <w:r>
        <w:rPr>
          <w:rFonts w:ascii="Trebuchet MS" w:eastAsia="Times New Roman" w:hAnsi="Trebuchet MS"/>
          <w:i/>
          <w:sz w:val="21"/>
          <w:szCs w:val="21"/>
          <w:lang w:val="ro-RO"/>
        </w:rPr>
        <w:t>metodologia de investigare a siturilor potențial contaminate și a celor contaminate se aprobă prin ordin comun al conducătorilor autorității publice centrale pentru protecția mediului, autorității publice centrale pentru ape și păduri și autorității publice centrale pentru dezvoltare regională și administrație publică</w:t>
      </w:r>
      <w:r>
        <w:rPr>
          <w:rFonts w:ascii="Trebuchet MS" w:eastAsia="Times New Roman" w:hAnsi="Trebuchet MS"/>
          <w:sz w:val="21"/>
          <w:szCs w:val="21"/>
          <w:lang w:val="ro-RO"/>
        </w:rPr>
        <w:t>”.</w:t>
      </w:r>
    </w:p>
    <w:p w:rsidR="00B37BD1" w:rsidRDefault="00D55F51">
      <w:pPr>
        <w:spacing w:line="240" w:lineRule="auto"/>
      </w:pPr>
      <w:r>
        <w:rPr>
          <w:rFonts w:ascii="Trebuchet MS" w:eastAsia="Times New Roman" w:hAnsi="Trebuchet MS"/>
          <w:sz w:val="21"/>
          <w:szCs w:val="21"/>
          <w:lang w:val="ro-RO"/>
        </w:rPr>
        <w:t>Potrivit prevederilor art. 50 alin. (2) din Legea nr.74/2019 privind gestionarea siturilor potențial conta</w:t>
      </w:r>
      <w:r w:rsidR="00A11199">
        <w:rPr>
          <w:rFonts w:ascii="Trebuchet MS" w:eastAsia="Times New Roman" w:hAnsi="Trebuchet MS"/>
          <w:sz w:val="21"/>
          <w:szCs w:val="21"/>
          <w:lang w:val="ro-RO"/>
        </w:rPr>
        <w:t>minate și a celor contaminate, „</w:t>
      </w:r>
      <w:r>
        <w:rPr>
          <w:rFonts w:ascii="Trebuchet MS" w:eastAsia="Times New Roman" w:hAnsi="Trebuchet MS"/>
          <w:i/>
          <w:sz w:val="21"/>
          <w:szCs w:val="21"/>
          <w:lang w:val="ro-RO"/>
        </w:rPr>
        <w:t>în termen de 12 luni de la data intrării în vigoare a prezentei legi, autoritatea publică centrală pentru protecția mediului elaborează metodologia de investigare a siturilor potențial contaminate și a celor contaminate precum și metodologia de remediere a siturilor contaminate</w:t>
      </w:r>
      <w:r>
        <w:rPr>
          <w:rFonts w:ascii="Trebuchet MS" w:eastAsia="Times New Roman" w:hAnsi="Trebuchet MS"/>
          <w:sz w:val="21"/>
          <w:szCs w:val="21"/>
          <w:lang w:val="ro-RO"/>
        </w:rPr>
        <w:t>”.</w:t>
      </w:r>
    </w:p>
    <w:p w:rsidR="00B37BD1" w:rsidRDefault="00D55F51">
      <w:pPr>
        <w:spacing w:line="240" w:lineRule="auto"/>
        <w:rPr>
          <w:rFonts w:ascii="Trebuchet MS" w:eastAsia="Times New Roman" w:hAnsi="Trebuchet MS"/>
          <w:sz w:val="21"/>
          <w:szCs w:val="21"/>
          <w:lang w:val="ro-RO"/>
        </w:rPr>
      </w:pPr>
      <w:r>
        <w:rPr>
          <w:rFonts w:ascii="Trebuchet MS" w:eastAsia="Times New Roman" w:hAnsi="Trebuchet MS"/>
          <w:sz w:val="21"/>
          <w:szCs w:val="21"/>
          <w:lang w:val="ro-RO"/>
        </w:rPr>
        <w:t>Având în vedere cele de mai sus, supunem spre analiză și aprobare proiectul de Ordin comun privind aprobarea Metodologiei de investigare a siturilor potențial contaminate și a celor contaminate.</w:t>
      </w:r>
    </w:p>
    <w:p w:rsidR="00B37BD1" w:rsidRDefault="00B37BD1">
      <w:pPr>
        <w:spacing w:line="240" w:lineRule="auto"/>
        <w:rPr>
          <w:rFonts w:ascii="Trebuchet MS" w:eastAsia="Times New Roman" w:hAnsi="Trebuchet MS"/>
          <w:sz w:val="21"/>
          <w:szCs w:val="21"/>
          <w:lang w:val="ro-RO"/>
        </w:rPr>
      </w:pPr>
    </w:p>
    <w:p w:rsidR="00A11199" w:rsidRDefault="00A11199">
      <w:pPr>
        <w:spacing w:line="240" w:lineRule="auto"/>
        <w:jc w:val="center"/>
        <w:rPr>
          <w:rFonts w:ascii="Trebuchet MS" w:eastAsia="Times New Roman" w:hAnsi="Trebuchet MS"/>
          <w:b/>
          <w:sz w:val="21"/>
          <w:szCs w:val="21"/>
          <w:lang w:val="ro-RO"/>
        </w:rPr>
      </w:pPr>
    </w:p>
    <w:p w:rsidR="00B37BD1" w:rsidRDefault="00D55F51">
      <w:pPr>
        <w:spacing w:line="240" w:lineRule="auto"/>
        <w:jc w:val="center"/>
        <w:rPr>
          <w:rFonts w:ascii="Trebuchet MS" w:eastAsia="Times New Roman" w:hAnsi="Trebuchet MS"/>
          <w:b/>
          <w:sz w:val="21"/>
          <w:szCs w:val="21"/>
          <w:lang w:val="ro-RO"/>
        </w:rPr>
      </w:pPr>
      <w:r>
        <w:rPr>
          <w:rFonts w:ascii="Trebuchet MS" w:eastAsia="Times New Roman" w:hAnsi="Trebuchet MS"/>
          <w:b/>
          <w:sz w:val="21"/>
          <w:szCs w:val="21"/>
          <w:lang w:val="ro-RO"/>
        </w:rPr>
        <w:t xml:space="preserve"> Cosmin Dorin Teodoru</w:t>
      </w:r>
    </w:p>
    <w:p w:rsidR="00B37BD1" w:rsidRDefault="00D55F51">
      <w:pPr>
        <w:spacing w:line="240" w:lineRule="auto"/>
        <w:jc w:val="center"/>
        <w:rPr>
          <w:rFonts w:ascii="Trebuchet MS" w:eastAsia="Times New Roman" w:hAnsi="Trebuchet MS"/>
          <w:b/>
          <w:sz w:val="21"/>
          <w:szCs w:val="21"/>
          <w:lang w:val="ro-RO"/>
        </w:rPr>
      </w:pPr>
      <w:r>
        <w:rPr>
          <w:rFonts w:ascii="Trebuchet MS" w:eastAsia="Times New Roman" w:hAnsi="Trebuchet MS"/>
          <w:b/>
          <w:sz w:val="21"/>
          <w:szCs w:val="21"/>
          <w:lang w:val="ro-RO"/>
        </w:rPr>
        <w:t>Director General</w:t>
      </w:r>
    </w:p>
    <w:p w:rsidR="00B37BD1" w:rsidRDefault="00B37BD1">
      <w:pPr>
        <w:spacing w:line="240" w:lineRule="auto"/>
        <w:rPr>
          <w:rFonts w:ascii="Trebuchet MS" w:eastAsia="Times New Roman" w:hAnsi="Trebuchet MS"/>
          <w:b/>
          <w:sz w:val="21"/>
          <w:szCs w:val="21"/>
          <w:lang w:val="ro-RO"/>
        </w:rPr>
      </w:pPr>
      <w:bookmarkStart w:id="0" w:name="_GoBack"/>
      <w:bookmarkEnd w:id="0"/>
    </w:p>
    <w:p w:rsidR="00A11199" w:rsidRDefault="00A11199" w:rsidP="00A11199">
      <w:pPr>
        <w:spacing w:line="288" w:lineRule="auto"/>
        <w:jc w:val="left"/>
        <w:rPr>
          <w:rFonts w:eastAsia="Times New Roman"/>
          <w:sz w:val="21"/>
          <w:szCs w:val="21"/>
          <w:lang w:val="ro-RO"/>
        </w:rPr>
      </w:pPr>
    </w:p>
    <w:p w:rsidR="00A11199" w:rsidRDefault="00A11199" w:rsidP="00A11199">
      <w:pPr>
        <w:tabs>
          <w:tab w:val="center" w:pos="4703"/>
          <w:tab w:val="right" w:pos="9406"/>
        </w:tabs>
        <w:spacing w:after="0" w:line="240" w:lineRule="auto"/>
        <w:ind w:left="-567"/>
        <w:rPr>
          <w:rFonts w:ascii="Trebuchet MS" w:eastAsia="Trebuchet MS" w:hAnsi="Trebuchet MS" w:cs="Open Sans"/>
          <w:color w:val="000000"/>
          <w:sz w:val="14"/>
          <w:szCs w:val="14"/>
          <w:lang w:val="ro-RO"/>
        </w:rPr>
      </w:pPr>
      <w:r>
        <w:rPr>
          <w:rFonts w:ascii="Trebuchet MS" w:eastAsia="Trebuchet MS" w:hAnsi="Trebuchet MS" w:cs="Open Sans"/>
          <w:color w:val="000000"/>
          <w:sz w:val="14"/>
          <w:szCs w:val="14"/>
          <w:lang w:val="ro-RO"/>
        </w:rPr>
        <w:t>Bd. Libertăţii, nr.12, Sector 5, Bucureşti</w:t>
      </w:r>
    </w:p>
    <w:p w:rsidR="00A11199" w:rsidRDefault="00A11199" w:rsidP="00A11199">
      <w:pPr>
        <w:tabs>
          <w:tab w:val="center" w:pos="4703"/>
          <w:tab w:val="right" w:pos="9406"/>
        </w:tabs>
        <w:spacing w:after="0" w:line="240" w:lineRule="auto"/>
        <w:ind w:left="-567"/>
        <w:rPr>
          <w:rFonts w:ascii="Trebuchet MS" w:eastAsia="Trebuchet MS" w:hAnsi="Trebuchet MS" w:cs="Open Sans"/>
          <w:color w:val="000000"/>
          <w:sz w:val="14"/>
          <w:szCs w:val="14"/>
          <w:lang w:val="ro-RO"/>
        </w:rPr>
      </w:pPr>
      <w:r>
        <w:rPr>
          <w:rFonts w:ascii="Trebuchet MS" w:eastAsia="Trebuchet MS" w:hAnsi="Trebuchet MS" w:cs="Open Sans"/>
          <w:color w:val="000000"/>
          <w:sz w:val="14"/>
          <w:szCs w:val="14"/>
          <w:lang w:val="ro-RO"/>
        </w:rPr>
        <w:t>Tel.: +4 021 4089591</w:t>
      </w:r>
    </w:p>
    <w:p w:rsidR="00B37BD1" w:rsidRPr="005B55F1" w:rsidRDefault="00A11199" w:rsidP="005B55F1">
      <w:pPr>
        <w:tabs>
          <w:tab w:val="center" w:pos="4703"/>
          <w:tab w:val="right" w:pos="9406"/>
        </w:tabs>
        <w:spacing w:after="0" w:line="240" w:lineRule="auto"/>
        <w:ind w:left="-567"/>
        <w:rPr>
          <w:rFonts w:ascii="Trebuchet MS" w:eastAsia="Trebuchet MS" w:hAnsi="Trebuchet MS" w:cs="Open Sans"/>
          <w:color w:val="000000"/>
          <w:sz w:val="14"/>
          <w:szCs w:val="14"/>
          <w:lang w:val="ro-RO"/>
        </w:rPr>
      </w:pPr>
      <w:r>
        <w:rPr>
          <w:rFonts w:ascii="Trebuchet MS" w:eastAsia="Trebuchet MS" w:hAnsi="Trebuchet MS" w:cs="Open Sans"/>
          <w:color w:val="000000"/>
          <w:sz w:val="14"/>
          <w:szCs w:val="14"/>
          <w:lang w:val="ro-RO"/>
        </w:rPr>
        <w:t>website: www.mmediu.ro</w:t>
      </w:r>
    </w:p>
    <w:sectPr w:rsidR="00B37BD1" w:rsidRPr="005B55F1" w:rsidSect="00A11199">
      <w:headerReference w:type="default" r:id="rId7"/>
      <w:pgSz w:w="12240" w:h="15840"/>
      <w:pgMar w:top="450" w:right="758" w:bottom="284" w:left="1276"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52" w:rsidRDefault="00005752">
      <w:pPr>
        <w:spacing w:after="0" w:line="240" w:lineRule="auto"/>
      </w:pPr>
      <w:r>
        <w:separator/>
      </w:r>
    </w:p>
  </w:endnote>
  <w:endnote w:type="continuationSeparator" w:id="0">
    <w:p w:rsidR="00005752" w:rsidRDefault="0000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PSMT">
    <w:charset w:val="00"/>
    <w:family w:val="roman"/>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52" w:rsidRDefault="00005752">
      <w:pPr>
        <w:spacing w:after="0" w:line="240" w:lineRule="auto"/>
      </w:pPr>
      <w:r>
        <w:rPr>
          <w:color w:val="000000"/>
        </w:rPr>
        <w:separator/>
      </w:r>
    </w:p>
  </w:footnote>
  <w:footnote w:type="continuationSeparator" w:id="0">
    <w:p w:rsidR="00005752" w:rsidRDefault="0000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5F" w:rsidRDefault="0000575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1840" o:spid="_x0000_s2049" type="#_x0000_t136" style="position:absolute;left:0;text-align:left;margin-left:0;margin-top:0;width:439.9pt;height:219.95pt;rotation:2949127fd;z-index:251659264;visibility:visible;mso-wrap-style:none;mso-position-horizontal:center;mso-position-horizontal-relative:margin;mso-position-vertical:center;mso-position-vertical-relative:margin;v-text-anchor:top" fillcolor="#2e74b5" stroked="f">
          <v:fill opacity="32896f"/>
          <v:textpath style="font-family:&quot;Calibri&quot;;font-size:18pt;v-text-align:left" trim="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D1"/>
    <w:rsid w:val="00005752"/>
    <w:rsid w:val="00227CD2"/>
    <w:rsid w:val="00434B4B"/>
    <w:rsid w:val="005548CB"/>
    <w:rsid w:val="00575643"/>
    <w:rsid w:val="005B55F1"/>
    <w:rsid w:val="006348F9"/>
    <w:rsid w:val="00646C86"/>
    <w:rsid w:val="00724356"/>
    <w:rsid w:val="00735C2D"/>
    <w:rsid w:val="008E09FC"/>
    <w:rsid w:val="00A11199"/>
    <w:rsid w:val="00A41571"/>
    <w:rsid w:val="00A6209F"/>
    <w:rsid w:val="00A743AE"/>
    <w:rsid w:val="00B37BD1"/>
    <w:rsid w:val="00B75E56"/>
    <w:rsid w:val="00BA086B"/>
    <w:rsid w:val="00CE1291"/>
    <w:rsid w:val="00D55F51"/>
    <w:rsid w:val="00D60A7F"/>
    <w:rsid w:val="00D960DF"/>
    <w:rsid w:val="00DD66FC"/>
    <w:rsid w:val="00E72987"/>
    <w:rsid w:val="00EF7608"/>
    <w:rsid w:val="00F40AC7"/>
    <w:rsid w:val="00FC1A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7B200D-0189-4C1D-A33C-FA2A9EA5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jc w:val="both"/>
    </w:pPr>
    <w:rPr>
      <w:sz w:val="22"/>
      <w:szCs w:val="22"/>
    </w:rPr>
  </w:style>
  <w:style w:type="paragraph" w:styleId="Heading3">
    <w:name w:val="heading 3"/>
    <w:basedOn w:val="Normal"/>
    <w:next w:val="Normal"/>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336390"/>
      <w:u w:val="none"/>
    </w:rPr>
  </w:style>
  <w:style w:type="character" w:styleId="Strong">
    <w:name w:val="Strong"/>
    <w:rPr>
      <w:b/>
      <w:bCs/>
    </w:rPr>
  </w:style>
  <w:style w:type="character" w:customStyle="1" w:styleId="li1">
    <w:name w:val="li1"/>
    <w:rPr>
      <w:b/>
      <w:bCs/>
      <w:color w:val="8F0000"/>
    </w:rPr>
  </w:style>
  <w:style w:type="character" w:customStyle="1" w:styleId="tli1">
    <w:name w:val="tli1"/>
  </w:style>
  <w:style w:type="paragraph" w:styleId="ListParagraph">
    <w:name w:val="List Paragraph"/>
    <w:basedOn w:val="Normal"/>
    <w:pPr>
      <w:ind w:left="720"/>
    </w:pPr>
  </w:style>
  <w:style w:type="character" w:customStyle="1" w:styleId="ln2talineat">
    <w:name w:val="ln2talineat"/>
    <w:basedOn w:val="DefaultParagraphFont"/>
  </w:style>
  <w:style w:type="paragraph" w:styleId="BalloonText">
    <w:name w:val="Balloon Text"/>
    <w:basedOn w:val="Normal"/>
    <w:pPr>
      <w:spacing w:after="0" w:line="240" w:lineRule="auto"/>
    </w:pPr>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al1">
    <w:name w:val="al1"/>
    <w:rPr>
      <w:b/>
      <w:bCs/>
      <w:color w:val="008F00"/>
    </w:rPr>
  </w:style>
  <w:style w:type="character" w:customStyle="1" w:styleId="tal1">
    <w:name w:val="tal1"/>
    <w:basedOn w:val="DefaultParagraphFont"/>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Header">
    <w:name w:val="header"/>
    <w:basedOn w:val="Normal"/>
    <w:pPr>
      <w:tabs>
        <w:tab w:val="center" w:pos="4536"/>
        <w:tab w:val="right" w:pos="9072"/>
      </w:tabs>
    </w:pPr>
  </w:style>
  <w:style w:type="character" w:customStyle="1" w:styleId="HeaderChar">
    <w:name w:val="Header Char"/>
    <w:rPr>
      <w:sz w:val="22"/>
      <w:szCs w:val="22"/>
      <w:lang w:val="en-US" w:eastAsia="en-US"/>
    </w:rPr>
  </w:style>
  <w:style w:type="paragraph" w:styleId="Footer">
    <w:name w:val="footer"/>
    <w:basedOn w:val="Normal"/>
    <w:pPr>
      <w:tabs>
        <w:tab w:val="center" w:pos="4536"/>
        <w:tab w:val="right" w:pos="9072"/>
      </w:tabs>
    </w:pPr>
  </w:style>
  <w:style w:type="character" w:customStyle="1" w:styleId="FooterChar">
    <w:name w:val="Footer Char"/>
    <w:rPr>
      <w:sz w:val="22"/>
      <w:szCs w:val="22"/>
      <w:lang w:val="en-US" w:eastAsia="en-US"/>
    </w:rPr>
  </w:style>
  <w:style w:type="character" w:customStyle="1" w:styleId="Heading3Char">
    <w:name w:val="Heading 3 Char"/>
    <w:rPr>
      <w:rFonts w:ascii="Calibri Light" w:eastAsia="Times New Roman" w:hAnsi="Calibri Light" w:cs="Times New Roman"/>
      <w:b/>
      <w:bCs/>
      <w:sz w:val="26"/>
      <w:szCs w:val="26"/>
      <w:lang w:val="en-US" w:eastAsia="en-US"/>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customStyle="1" w:styleId="CM1">
    <w:name w:val="CM1"/>
    <w:basedOn w:val="Normal"/>
    <w:next w:val="Normal"/>
    <w:pPr>
      <w:autoSpaceDE w:val="0"/>
      <w:spacing w:after="0" w:line="240" w:lineRule="auto"/>
      <w:jc w:val="left"/>
    </w:pPr>
    <w:rPr>
      <w:rFonts w:ascii="EUAlbertina" w:hAnsi="EUAlbertina"/>
      <w:sz w:val="24"/>
      <w:szCs w:val="24"/>
    </w:rPr>
  </w:style>
  <w:style w:type="paragraph" w:customStyle="1" w:styleId="CM3">
    <w:name w:val="CM3"/>
    <w:basedOn w:val="Normal"/>
    <w:next w:val="Normal"/>
    <w:pPr>
      <w:autoSpaceDE w:val="0"/>
      <w:spacing w:after="0" w:line="240" w:lineRule="auto"/>
      <w:jc w:val="left"/>
    </w:pPr>
    <w:rPr>
      <w:rFonts w:ascii="EUAlbertina" w:hAnsi="EUAlbertina"/>
      <w:sz w:val="24"/>
      <w:szCs w:val="24"/>
    </w:rPr>
  </w:style>
  <w:style w:type="character" w:customStyle="1" w:styleId="tpa1">
    <w:name w:val="tpa1"/>
  </w:style>
  <w:style w:type="paragraph" w:customStyle="1" w:styleId="Default">
    <w:name w:val="Default"/>
    <w:pPr>
      <w:widowControl w:val="0"/>
      <w:suppressAutoHyphens/>
      <w:autoSpaceDE w:val="0"/>
    </w:pPr>
    <w:rPr>
      <w:rFonts w:ascii="Times New Roman PSMT" w:eastAsia="Times New Roman" w:hAnsi="Times New Roman PSMT"/>
      <w:color w:val="000000"/>
      <w:sz w:val="24"/>
      <w:szCs w:val="24"/>
      <w:lang w:val="ro-RO" w:eastAsia="ro-RO"/>
    </w:rPr>
  </w:style>
  <w:style w:type="paragraph" w:styleId="BodyText">
    <w:name w:val="Body Text"/>
    <w:basedOn w:val="Normal"/>
    <w:pPr>
      <w:spacing w:after="120" w:line="251" w:lineRule="auto"/>
      <w:jc w:val="left"/>
    </w:pPr>
  </w:style>
  <w:style w:type="character" w:customStyle="1" w:styleId="BodyTextChar">
    <w:name w:val="Body Text Char"/>
    <w:rPr>
      <w:sz w:val="22"/>
      <w:szCs w:val="22"/>
    </w:rPr>
  </w:style>
  <w:style w:type="paragraph" w:customStyle="1" w:styleId="doc-ti">
    <w:name w:val="doc-ti"/>
    <w:basedOn w:val="Normal"/>
    <w:pPr>
      <w:spacing w:before="100" w:after="100" w:line="240" w:lineRule="auto"/>
      <w:jc w:val="left"/>
    </w:pPr>
    <w:rPr>
      <w:rFonts w:ascii="Times New Roman" w:eastAsia="Times New Roman" w:hAnsi="Times New Roman"/>
      <w:sz w:val="24"/>
      <w:szCs w:val="24"/>
    </w:rPr>
  </w:style>
  <w:style w:type="paragraph" w:styleId="NoSpacing">
    <w:name w:val="No Spacing"/>
    <w:pPr>
      <w:suppressAutoHyphens/>
    </w:pPr>
    <w:rPr>
      <w:sz w:val="22"/>
      <w:szCs w:val="22"/>
      <w:lang w:val="ro-RO"/>
    </w:rPr>
  </w:style>
  <w:style w:type="character" w:customStyle="1" w:styleId="spubbdy1">
    <w:name w:val="s_pub_bdy1"/>
    <w:rPr>
      <w:rFonts w:ascii="Verdana" w:hAnsi="Verdana"/>
      <w:b/>
      <w:bCs/>
      <w:color w:val="24689B"/>
      <w:sz w:val="21"/>
      <w:szCs w:val="21"/>
      <w:shd w:val="clear" w:color="auto" w:fill="FFFFFF"/>
    </w:rPr>
  </w:style>
  <w:style w:type="paragraph" w:styleId="NormalWeb">
    <w:name w:val="Normal (Web)"/>
    <w:basedOn w:val="Normal"/>
    <w:pPr>
      <w:spacing w:before="100" w:after="100"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istrate\Documents\Draft_HG_DEEE_18%202%2014_curat%20(Recov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Draft_HG_DEEE_18 2 14_curat (Recovered).dot</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lastModifiedBy>Gabriel Jitaru</cp:lastModifiedBy>
  <cp:revision>4</cp:revision>
  <cp:lastPrinted>2020-04-13T06:36:00Z</cp:lastPrinted>
  <dcterms:created xsi:type="dcterms:W3CDTF">2020-04-13T06:50:00Z</dcterms:created>
  <dcterms:modified xsi:type="dcterms:W3CDTF">2020-04-13T08:41:00Z</dcterms:modified>
</cp:coreProperties>
</file>