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3858" w14:textId="77777777" w:rsidR="008126C5" w:rsidRPr="006E1CC6" w:rsidRDefault="008126C5" w:rsidP="008126C5">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2C0A47A9" w14:textId="77777777" w:rsidR="008126C5" w:rsidRPr="006E1CC6" w:rsidRDefault="008126C5" w:rsidP="008126C5">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216BE102" w14:textId="77777777" w:rsidR="008126C5" w:rsidRPr="006E1CC6" w:rsidRDefault="008126C5" w:rsidP="008126C5">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25</w:t>
      </w:r>
      <w:r w:rsidRPr="00221009">
        <w:rPr>
          <w:b/>
          <w:noProof/>
          <w:sz w:val="24"/>
          <w:szCs w:val="24"/>
          <w:lang w:val="it-IT"/>
        </w:rPr>
        <w:t>.</w:t>
      </w:r>
      <w:r>
        <w:rPr>
          <w:b/>
          <w:noProof/>
          <w:sz w:val="24"/>
          <w:szCs w:val="24"/>
          <w:lang w:val="it-IT"/>
        </w:rPr>
        <w:t>10</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Pr>
          <w:b/>
          <w:noProof/>
          <w:sz w:val="24"/>
          <w:szCs w:val="24"/>
          <w:lang w:val="it-IT"/>
        </w:rPr>
        <w:t>26</w:t>
      </w:r>
      <w:r w:rsidRPr="00221009">
        <w:rPr>
          <w:b/>
          <w:noProof/>
          <w:sz w:val="24"/>
          <w:szCs w:val="24"/>
          <w:lang w:val="it-IT"/>
        </w:rPr>
        <w:t>.</w:t>
      </w:r>
      <w:r>
        <w:rPr>
          <w:b/>
          <w:noProof/>
          <w:sz w:val="24"/>
          <w:szCs w:val="24"/>
          <w:lang w:val="it-IT"/>
        </w:rPr>
        <w:t>10</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42A3CF8F" w14:textId="77777777" w:rsidR="008126C5" w:rsidRPr="00B04398" w:rsidRDefault="008126C5" w:rsidP="008126C5">
      <w:pPr>
        <w:ind w:left="720"/>
        <w:rPr>
          <w:noProof/>
          <w:sz w:val="28"/>
          <w:szCs w:val="28"/>
          <w:lang w:val="it-IT"/>
        </w:rPr>
      </w:pPr>
    </w:p>
    <w:p w14:paraId="215E85E1" w14:textId="77777777" w:rsidR="008126C5" w:rsidRPr="006E1CC6" w:rsidRDefault="008126C5" w:rsidP="008126C5">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4242D5EA" w14:textId="77777777" w:rsidR="008126C5" w:rsidRPr="00757678" w:rsidRDefault="008126C5" w:rsidP="008126C5">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26.10</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19154F4C" w14:textId="77777777" w:rsidR="008126C5" w:rsidRPr="005C43E0" w:rsidRDefault="008126C5" w:rsidP="008126C5">
      <w:pPr>
        <w:spacing w:after="0" w:line="240" w:lineRule="auto"/>
        <w:ind w:left="720"/>
        <w:rPr>
          <w:lang w:val="it-IT"/>
        </w:rPr>
      </w:pPr>
      <w:r w:rsidRPr="00757678">
        <w:rPr>
          <w:b/>
          <w:u w:val="single"/>
          <w:lang w:val="it-IT"/>
        </w:rPr>
        <w:t>RÂURI:</w:t>
      </w:r>
      <w:r w:rsidRPr="00201F9A">
        <w:rPr>
          <w:lang w:val="it-IT"/>
        </w:rPr>
        <w:t xml:space="preserve"> </w:t>
      </w:r>
    </w:p>
    <w:p w14:paraId="618FCF8E" w14:textId="77777777" w:rsidR="008126C5" w:rsidRPr="007A2AB5" w:rsidRDefault="008126C5" w:rsidP="008126C5">
      <w:pPr>
        <w:spacing w:after="0" w:line="240" w:lineRule="auto"/>
        <w:ind w:left="720"/>
      </w:pPr>
      <w:r w:rsidRPr="007A2AB5">
        <w:rPr>
          <w:b/>
        </w:rPr>
        <w:t xml:space="preserve">Debitele au fost în general staționare, </w:t>
      </w:r>
      <w:r w:rsidRPr="007A2AB5">
        <w:t>exceptând râurile din bazinele: Vişeu, Iza, Tur, Lăpuș, Someșul Mare, unde au fost în ușoară creștere ca urmare a precipitațiilor căzute în interval și propagării și cursul superior al Prutului, unde au fost în scădere.</w:t>
      </w:r>
    </w:p>
    <w:p w14:paraId="651A5639" w14:textId="77777777" w:rsidR="008126C5" w:rsidRPr="007A2AB5" w:rsidRDefault="008126C5" w:rsidP="008126C5">
      <w:pPr>
        <w:spacing w:after="0" w:line="240" w:lineRule="auto"/>
        <w:ind w:left="720"/>
      </w:pPr>
      <w:r w:rsidRPr="007A2AB5">
        <w:t>Debitele se situează la valori sub mediile multianuale lunare, cu coeficienți moduli cuprinși între 30-80%, mai mici (sub 30%) pe râurile din bazinele hidrografice: Iza, Tur, Lăpuș, Crișuri, Arieș, Timiș, Moravița, Caraș, Cerna, Vedea, Tazlău, Rm. Sărat, Bârlad, Jijia, pe afluenții Jiului, pe unii afluenți din bazinul superior și mijlociu al Oltului, pe unii afluenți din bazinul superior al Argeșului și pe râurile din Dobrogea.</w:t>
      </w:r>
    </w:p>
    <w:p w14:paraId="3E6AA82B" w14:textId="77777777" w:rsidR="008126C5" w:rsidRPr="007A2AB5" w:rsidRDefault="008126C5" w:rsidP="008126C5">
      <w:pPr>
        <w:spacing w:after="0" w:line="240" w:lineRule="auto"/>
        <w:ind w:left="720"/>
        <w:rPr>
          <w:b/>
        </w:rPr>
      </w:pPr>
      <w:r w:rsidRPr="007A2AB5">
        <w:t xml:space="preserve">Nivelurile pe râuri la stațiile hidrometrice se situează sub </w:t>
      </w:r>
      <w:r w:rsidRPr="007A2AB5">
        <w:rPr>
          <w:b/>
        </w:rPr>
        <w:t>COTELE DE ATENȚIE.</w:t>
      </w:r>
    </w:p>
    <w:p w14:paraId="1CC23CD6" w14:textId="77777777" w:rsidR="008126C5" w:rsidRPr="007A2AB5" w:rsidRDefault="008126C5" w:rsidP="008126C5">
      <w:pPr>
        <w:spacing w:after="0" w:line="240" w:lineRule="auto"/>
        <w:ind w:left="720"/>
      </w:pPr>
    </w:p>
    <w:p w14:paraId="62A48E98" w14:textId="77777777" w:rsidR="008126C5" w:rsidRPr="007A2AB5" w:rsidRDefault="008126C5" w:rsidP="008126C5">
      <w:pPr>
        <w:spacing w:after="0" w:line="240" w:lineRule="auto"/>
        <w:ind w:left="720"/>
      </w:pPr>
      <w:r w:rsidRPr="007A2AB5">
        <w:rPr>
          <w:b/>
        </w:rPr>
        <w:t>Debitele vor fi în general staționare,</w:t>
      </w:r>
      <w:r w:rsidRPr="007A2AB5">
        <w:t xml:space="preserve"> exceptând râurile din bazinele hidrografice: Vișeu, Iza, Tur, Lăpuș, Someșul Mare, unde vor fi în ușoară creștere datorită precipitațiilor prognozate și propagării și cursul superior al Prutului, unde vor fi în scădere.</w:t>
      </w:r>
    </w:p>
    <w:p w14:paraId="5DFF478A" w14:textId="77777777" w:rsidR="008126C5" w:rsidRPr="007A2AB5" w:rsidRDefault="008126C5" w:rsidP="008126C5">
      <w:pPr>
        <w:spacing w:after="0" w:line="240" w:lineRule="auto"/>
        <w:ind w:left="720"/>
      </w:pPr>
      <w:r w:rsidRPr="007A2AB5">
        <w:t>Sunt posibile creșteri de niveluri și debite pe unele râuri din zonele de deal și de munte, mai ales pe cele din vestul, nordul și centrul țării, ca urmare a precipitațiilor prognozate, sub formă de aversă, izolat mai însemnate cantitativ.</w:t>
      </w:r>
    </w:p>
    <w:p w14:paraId="25686FAC" w14:textId="77777777" w:rsidR="008126C5" w:rsidRPr="007A2AB5" w:rsidRDefault="008126C5" w:rsidP="008126C5">
      <w:pPr>
        <w:spacing w:after="0" w:line="240" w:lineRule="auto"/>
        <w:ind w:left="720"/>
      </w:pPr>
      <w:r w:rsidRPr="007A2AB5">
        <w:t xml:space="preserve">Nivelurile pe râuri la stațiile hidrometrice se vor situa sub </w:t>
      </w:r>
      <w:r w:rsidRPr="007A2AB5">
        <w:rPr>
          <w:b/>
          <w:bCs/>
        </w:rPr>
        <w:t>COTELE DE ATENȚIE</w:t>
      </w:r>
      <w:r w:rsidRPr="007A2AB5">
        <w:t>.</w:t>
      </w:r>
    </w:p>
    <w:p w14:paraId="7A1EF380" w14:textId="77777777" w:rsidR="008126C5" w:rsidRPr="00156F51" w:rsidRDefault="008126C5" w:rsidP="008126C5">
      <w:pPr>
        <w:spacing w:after="0" w:line="240" w:lineRule="auto"/>
        <w:ind w:left="720"/>
      </w:pPr>
    </w:p>
    <w:p w14:paraId="10706020" w14:textId="77777777" w:rsidR="008126C5" w:rsidRPr="005D0005" w:rsidRDefault="008126C5" w:rsidP="008126C5">
      <w:pPr>
        <w:pStyle w:val="PlainText"/>
        <w:ind w:left="720"/>
        <w:jc w:val="both"/>
        <w:rPr>
          <w:lang w:val="ro-RO"/>
        </w:rPr>
      </w:pPr>
      <w:r w:rsidRPr="005F01F0">
        <w:rPr>
          <w:rFonts w:ascii="Trebuchet MS" w:hAnsi="Trebuchet MS" w:cs="Times New Roman"/>
          <w:b/>
          <w:sz w:val="22"/>
          <w:szCs w:val="22"/>
          <w:u w:val="single"/>
          <w:lang w:val="it-IT"/>
        </w:rPr>
        <w:t>DUNARE:</w:t>
      </w:r>
    </w:p>
    <w:p w14:paraId="42247162" w14:textId="77777777" w:rsidR="008126C5" w:rsidRPr="007A2AB5" w:rsidRDefault="008126C5" w:rsidP="008126C5">
      <w:pPr>
        <w:spacing w:after="0" w:line="240" w:lineRule="auto"/>
        <w:ind w:left="720"/>
      </w:pPr>
      <w:r w:rsidRPr="007A2AB5">
        <w:rPr>
          <w:b/>
        </w:rPr>
        <w:t>Debitul la intrarea în țar</w:t>
      </w:r>
      <w:bookmarkStart w:id="0" w:name="_Hlk141883205"/>
      <w:r w:rsidRPr="007A2AB5">
        <w:rPr>
          <w:b/>
        </w:rPr>
        <w:t>ă</w:t>
      </w:r>
      <w:bookmarkEnd w:id="0"/>
      <w:r w:rsidRPr="007A2AB5">
        <w:rPr>
          <w:b/>
        </w:rPr>
        <w:t xml:space="preserve"> (secțiunea Baziaș) în </w:t>
      </w:r>
      <w:bookmarkStart w:id="1" w:name="_Hlk86390005"/>
      <w:r w:rsidRPr="007A2AB5">
        <w:rPr>
          <w:b/>
        </w:rPr>
        <w:t xml:space="preserve">intervalul 25 – 26.10.2023 </w:t>
      </w:r>
      <w:bookmarkStart w:id="2" w:name="_Hlk63580430"/>
      <w:bookmarkStart w:id="3" w:name="_Hlk86390127"/>
      <w:r w:rsidRPr="007A2AB5">
        <w:rPr>
          <w:b/>
        </w:rPr>
        <w:t xml:space="preserve">a fost </w:t>
      </w:r>
      <w:bookmarkEnd w:id="1"/>
      <w:bookmarkEnd w:id="2"/>
      <w:bookmarkEnd w:id="3"/>
      <w:r w:rsidRPr="007A2AB5">
        <w:rPr>
          <w:b/>
        </w:rPr>
        <w:t>în creștere având valoarea de</w:t>
      </w:r>
      <w:bookmarkStart w:id="4" w:name="_Hlk63494988"/>
      <w:bookmarkStart w:id="5" w:name="_Hlk64445300"/>
      <w:bookmarkStart w:id="6" w:name="_Hlk73689917"/>
      <w:r w:rsidRPr="007A2AB5">
        <w:rPr>
          <w:b/>
        </w:rPr>
        <w:t xml:space="preserve"> </w:t>
      </w:r>
      <w:bookmarkEnd w:id="4"/>
      <w:bookmarkEnd w:id="5"/>
      <w:bookmarkEnd w:id="6"/>
      <w:r w:rsidRPr="007A2AB5">
        <w:rPr>
          <w:b/>
        </w:rPr>
        <w:t>2200 m</w:t>
      </w:r>
      <w:r w:rsidRPr="007A2AB5">
        <w:rPr>
          <w:b/>
          <w:vertAlign w:val="superscript"/>
        </w:rPr>
        <w:t>3</w:t>
      </w:r>
      <w:r w:rsidRPr="007A2AB5">
        <w:rPr>
          <w:b/>
        </w:rPr>
        <w:t>/s,</w:t>
      </w:r>
      <w:r w:rsidRPr="007A2AB5">
        <w:t xml:space="preserve"> sub media multianuală a lunii </w:t>
      </w:r>
      <w:r w:rsidRPr="007A2AB5">
        <w:rPr>
          <w:b/>
        </w:rPr>
        <w:t>octombrie (3850 m</w:t>
      </w:r>
      <w:r w:rsidRPr="007A2AB5">
        <w:rPr>
          <w:b/>
          <w:vertAlign w:val="superscript"/>
        </w:rPr>
        <w:t>3</w:t>
      </w:r>
      <w:r w:rsidRPr="007A2AB5">
        <w:rPr>
          <w:b/>
        </w:rPr>
        <w:t>/s).</w:t>
      </w:r>
    </w:p>
    <w:p w14:paraId="301C579C" w14:textId="3ACD1E82" w:rsidR="008126C5" w:rsidRDefault="008126C5" w:rsidP="008126C5">
      <w:pPr>
        <w:spacing w:after="0" w:line="240" w:lineRule="auto"/>
        <w:ind w:left="720"/>
      </w:pPr>
      <w:r w:rsidRPr="007A2AB5">
        <w:t>În aval de Porţile de Fier debitele au fost în creștere pe sectorul Gruia – Zimnicea și relativ staționare pe sectorul Giurgiu – Tulcea.</w:t>
      </w:r>
    </w:p>
    <w:p w14:paraId="4A59D895" w14:textId="77777777" w:rsidR="008126C5" w:rsidRPr="007A2AB5" w:rsidRDefault="008126C5" w:rsidP="008126C5">
      <w:pPr>
        <w:tabs>
          <w:tab w:val="left" w:pos="7290"/>
        </w:tabs>
        <w:spacing w:after="0" w:line="240" w:lineRule="auto"/>
        <w:ind w:left="720"/>
        <w:rPr>
          <w:b/>
          <w:lang w:val="it-IT"/>
        </w:rPr>
      </w:pPr>
      <w:r w:rsidRPr="007A2AB5">
        <w:rPr>
          <w:b/>
          <w:lang w:val="it-IT"/>
        </w:rPr>
        <w:t>Debitul la intrarea în țară (secțiunea Baziaș) va fi în creștere (2300 m3/s).</w:t>
      </w:r>
    </w:p>
    <w:p w14:paraId="047215D1" w14:textId="6A184122" w:rsidR="008126C5" w:rsidRPr="00757678" w:rsidRDefault="008126C5" w:rsidP="008126C5">
      <w:pPr>
        <w:tabs>
          <w:tab w:val="left" w:pos="7290"/>
        </w:tabs>
        <w:spacing w:after="0" w:line="240" w:lineRule="auto"/>
        <w:ind w:left="720"/>
        <w:rPr>
          <w:lang w:val="it-IT"/>
        </w:rPr>
      </w:pPr>
      <w:r w:rsidRPr="007A2AB5">
        <w:rPr>
          <w:lang w:val="it-IT"/>
        </w:rPr>
        <w:t>În aval de Porțile de Fier debitele vor fi în creştere pe sectorul Gruia – Oltenița și relativ staționare pe sectorul Călarași – Tulcea.</w:t>
      </w:r>
    </w:p>
    <w:p w14:paraId="27BBADF9" w14:textId="77777777" w:rsidR="008126C5" w:rsidRPr="00757678" w:rsidRDefault="008126C5" w:rsidP="008126C5">
      <w:pPr>
        <w:spacing w:after="0" w:line="240" w:lineRule="auto"/>
        <w:ind w:left="720"/>
        <w:rPr>
          <w:b/>
          <w:spacing w:val="-2"/>
          <w:u w:val="single"/>
          <w:lang w:val="it-IT"/>
        </w:rPr>
      </w:pPr>
      <w:r w:rsidRPr="00757678">
        <w:rPr>
          <w:b/>
          <w:spacing w:val="-2"/>
        </w:rPr>
        <w:lastRenderedPageBreak/>
        <w:t>2.</w:t>
      </w:r>
      <w:r w:rsidRPr="00757678">
        <w:rPr>
          <w:bCs/>
          <w:spacing w:val="-2"/>
        </w:rPr>
        <w:t xml:space="preserve"> </w:t>
      </w:r>
      <w:r w:rsidRPr="00757678">
        <w:rPr>
          <w:b/>
          <w:spacing w:val="-2"/>
          <w:u w:val="single"/>
        </w:rPr>
        <w:t xml:space="preserve">Situaţia meteorologică în intervalul </w:t>
      </w:r>
      <w:r>
        <w:rPr>
          <w:b/>
          <w:u w:val="single"/>
          <w:lang w:val="it-IT"/>
        </w:rPr>
        <w:t>25</w:t>
      </w:r>
      <w:r w:rsidRPr="00221009">
        <w:rPr>
          <w:b/>
          <w:u w:val="single"/>
          <w:lang w:val="it-IT"/>
        </w:rPr>
        <w:t>.</w:t>
      </w:r>
      <w:r>
        <w:rPr>
          <w:b/>
          <w:u w:val="single"/>
          <w:lang w:val="it-IT"/>
        </w:rPr>
        <w:t>10</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26.10</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660DE207" w14:textId="77777777" w:rsidR="008126C5" w:rsidRPr="00EE6D56" w:rsidRDefault="008126C5" w:rsidP="008126C5">
      <w:pPr>
        <w:spacing w:after="0" w:line="240" w:lineRule="auto"/>
        <w:ind w:left="720"/>
      </w:pPr>
    </w:p>
    <w:p w14:paraId="3DA505B4" w14:textId="77777777" w:rsidR="008126C5" w:rsidRPr="00C42657" w:rsidRDefault="008126C5" w:rsidP="008126C5">
      <w:pPr>
        <w:spacing w:after="0" w:line="240" w:lineRule="auto"/>
        <w:ind w:left="720"/>
        <w:rPr>
          <w:lang w:val="it-IT"/>
        </w:rPr>
      </w:pPr>
      <w:r w:rsidRPr="00C42657">
        <w:rPr>
          <w:b/>
        </w:rPr>
        <w:t>În ţara,</w:t>
      </w:r>
      <w:r w:rsidRPr="00C42657">
        <w:t xml:space="preserve"> vremea a fost caldă, chiar deosebit de caldă în regiunile extracarpatice și în centrul țării, unde abaterile termice au fost între 6 și 12 grade. Cerul a fost variabil după-amiaza și seara în sud și sud-est, dar a prezentat înnorări în restul timpului și al spațiului. Au fost ploi ce au avut și caracter de aversă în Maramureș, local în Banat, Transilvania, Dobrogea și la munte și pe arii mai restrânse în rest. </w:t>
      </w:r>
      <w:r w:rsidRPr="00C42657">
        <w:rPr>
          <w:lang w:val="it-IT"/>
        </w:rPr>
        <w:t>Cantitățile de apă au depășit punctiform 15...20 l/mp în zona de</w:t>
      </w:r>
      <w:r>
        <w:rPr>
          <w:lang w:val="it-IT"/>
        </w:rPr>
        <w:t xml:space="preserve"> </w:t>
      </w:r>
      <w:r w:rsidRPr="00C42657">
        <w:rPr>
          <w:lang w:val="it-IT"/>
        </w:rPr>
        <w:t>nord a Carpaților Orientali. Vântul a prezentat local și temporar intensificări, cu viteze în general între 45 și 60 km/h, iar</w:t>
      </w:r>
      <w:r>
        <w:rPr>
          <w:lang w:val="it-IT"/>
        </w:rPr>
        <w:t xml:space="preserve"> </w:t>
      </w:r>
      <w:r w:rsidRPr="00C42657">
        <w:rPr>
          <w:lang w:val="it-IT"/>
        </w:rPr>
        <w:t>pe crestele montane rafalele au depășit 90...100 km/h. Temperaturile maxime s-au încadrat între 15 grade la Târgu</w:t>
      </w:r>
      <w:r>
        <w:rPr>
          <w:lang w:val="it-IT"/>
        </w:rPr>
        <w:t xml:space="preserve"> </w:t>
      </w:r>
      <w:r w:rsidRPr="00C42657">
        <w:rPr>
          <w:lang w:val="it-IT"/>
        </w:rPr>
        <w:t>Lăpuș și Dumbrăvița de Codru și 28 de grade la Focșani, Râmnicu Sărat și Amzacea, iar la ora 06 se înregistrau</w:t>
      </w:r>
      <w:r>
        <w:rPr>
          <w:lang w:val="it-IT"/>
        </w:rPr>
        <w:t xml:space="preserve"> </w:t>
      </w:r>
      <w:r w:rsidRPr="00C42657">
        <w:rPr>
          <w:lang w:val="it-IT"/>
        </w:rPr>
        <w:t>valori termice cuprinse între 6 grade la Toplița și Întorsura Buzăului și 18 grade la Calafat, Râmnicu Sărat și</w:t>
      </w:r>
      <w:r>
        <w:rPr>
          <w:lang w:val="it-IT"/>
        </w:rPr>
        <w:t xml:space="preserve"> </w:t>
      </w:r>
      <w:r w:rsidRPr="00C42657">
        <w:rPr>
          <w:lang w:val="it-IT"/>
        </w:rPr>
        <w:t>Constanța-dig.</w:t>
      </w:r>
    </w:p>
    <w:p w14:paraId="7ED89816" w14:textId="77777777" w:rsidR="008126C5" w:rsidRDefault="008126C5" w:rsidP="008126C5">
      <w:pPr>
        <w:spacing w:after="0" w:line="240" w:lineRule="auto"/>
        <w:ind w:left="720"/>
        <w:rPr>
          <w:lang w:val="it-IT"/>
        </w:rPr>
      </w:pPr>
    </w:p>
    <w:p w14:paraId="45A30BE9" w14:textId="516CFB5D" w:rsidR="008126C5" w:rsidRPr="008126C5" w:rsidRDefault="008126C5" w:rsidP="008126C5">
      <w:pPr>
        <w:spacing w:after="0" w:line="240" w:lineRule="auto"/>
        <w:ind w:left="720"/>
        <w:rPr>
          <w:i/>
          <w:lang w:val="it-IT"/>
        </w:rPr>
      </w:pPr>
      <w:r w:rsidRPr="00C42657">
        <w:rPr>
          <w:i/>
          <w:lang w:val="it-IT"/>
        </w:rPr>
        <w:t>OBSERVAȚII - de ieri dimineață de la ora 6 au fost în vigoare 10 atenționări cod galben pentru fenomene meteorologice periculoase imediate.</w:t>
      </w:r>
    </w:p>
    <w:p w14:paraId="1B0CC7E8" w14:textId="77777777" w:rsidR="008126C5" w:rsidRPr="005679FF" w:rsidRDefault="008126C5" w:rsidP="008126C5">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C42657">
        <w:rPr>
          <w:lang w:val="it-IT"/>
        </w:rPr>
        <w:t>remea a fost deosebit de caldă, cu abatere de 11 grade față de media multianuală. Cerul a fost variabil, cu înnorări</w:t>
      </w:r>
      <w:r>
        <w:rPr>
          <w:lang w:val="it-IT"/>
        </w:rPr>
        <w:t xml:space="preserve"> </w:t>
      </w:r>
      <w:r w:rsidRPr="00C42657">
        <w:rPr>
          <w:lang w:val="it-IT"/>
        </w:rPr>
        <w:t>noaptea când, trecător a plouat slab. Vântul a suflat slab și moderat, cu unele intensificări după-amiază. Temperatura</w:t>
      </w:r>
      <w:r>
        <w:rPr>
          <w:lang w:val="it-IT"/>
        </w:rPr>
        <w:t xml:space="preserve"> </w:t>
      </w:r>
      <w:r w:rsidRPr="00C42657">
        <w:rPr>
          <w:lang w:val="it-IT"/>
        </w:rPr>
        <w:t>maximă, ușor mai ridicată decât în ziua precedentă, a fost de 27 de grade, iar la ora 6 se înregistrau 15 grade la</w:t>
      </w:r>
      <w:r>
        <w:rPr>
          <w:lang w:val="it-IT"/>
        </w:rPr>
        <w:t xml:space="preserve"> </w:t>
      </w:r>
      <w:r w:rsidRPr="00C42657">
        <w:rPr>
          <w:lang w:val="it-IT"/>
        </w:rPr>
        <w:t>Filaret și 16 grade la Afumați și Băneasa.</w:t>
      </w:r>
    </w:p>
    <w:p w14:paraId="2EEAFCC9" w14:textId="77777777" w:rsidR="008126C5" w:rsidRPr="00757678" w:rsidRDefault="008126C5" w:rsidP="008126C5">
      <w:pPr>
        <w:spacing w:after="0" w:line="240" w:lineRule="auto"/>
        <w:rPr>
          <w:b/>
        </w:rPr>
      </w:pPr>
    </w:p>
    <w:p w14:paraId="07F068FD" w14:textId="77777777" w:rsidR="008126C5" w:rsidRPr="00757678" w:rsidRDefault="008126C5" w:rsidP="008126C5">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26.10</w:t>
      </w:r>
      <w:r w:rsidRPr="00A15CE4">
        <w:rPr>
          <w:b/>
          <w:u w:val="single"/>
          <w:lang w:val="it-IT"/>
        </w:rPr>
        <w:t>.202</w:t>
      </w:r>
      <w:r>
        <w:rPr>
          <w:b/>
          <w:u w:val="single"/>
          <w:lang w:val="it-IT"/>
        </w:rPr>
        <w:t>3</w:t>
      </w:r>
      <w:r w:rsidRPr="00757678">
        <w:rPr>
          <w:b/>
          <w:u w:val="single"/>
          <w:lang w:val="it-IT"/>
        </w:rPr>
        <w:t>, ora 08.00 –</w:t>
      </w:r>
      <w:r>
        <w:rPr>
          <w:b/>
          <w:u w:val="single"/>
          <w:lang w:val="it-IT"/>
        </w:rPr>
        <w:t xml:space="preserve"> 27.10</w:t>
      </w:r>
      <w:r w:rsidRPr="00A15CE4">
        <w:rPr>
          <w:b/>
          <w:u w:val="single"/>
          <w:lang w:val="it-IT"/>
        </w:rPr>
        <w:t>.202</w:t>
      </w:r>
      <w:r>
        <w:rPr>
          <w:b/>
          <w:u w:val="single"/>
          <w:lang w:val="it-IT"/>
        </w:rPr>
        <w:t>3</w:t>
      </w:r>
      <w:r w:rsidRPr="00757678">
        <w:rPr>
          <w:b/>
          <w:u w:val="single"/>
          <w:lang w:val="it-IT"/>
        </w:rPr>
        <w:t>, ora 08.00</w:t>
      </w:r>
    </w:p>
    <w:p w14:paraId="51956A48" w14:textId="3F87A25F" w:rsidR="008126C5" w:rsidRPr="008126C5" w:rsidRDefault="008126C5" w:rsidP="008126C5">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C42657">
        <w:rPr>
          <w:lang w:val="it-IT"/>
        </w:rPr>
        <w:t>remea va fi mult mai caldă decât în mod obișnuit pentru această dată. Cerul va avea înnorări temporare și vor fi ploi</w:t>
      </w:r>
      <w:r>
        <w:rPr>
          <w:lang w:val="it-IT"/>
        </w:rPr>
        <w:t xml:space="preserve"> </w:t>
      </w:r>
      <w:r w:rsidRPr="00C42657">
        <w:rPr>
          <w:lang w:val="it-IT"/>
        </w:rPr>
        <w:t>ce vor avea și caracter de aversă, local în vestul, nordul și centrul țării și izolat în rest. Pe alocuri, cantitățile de apă vor</w:t>
      </w:r>
      <w:r>
        <w:rPr>
          <w:lang w:val="it-IT"/>
        </w:rPr>
        <w:t xml:space="preserve"> </w:t>
      </w:r>
      <w:r w:rsidRPr="00C42657">
        <w:rPr>
          <w:lang w:val="it-IT"/>
        </w:rPr>
        <w:t>depăși 15...20 l/mp și se vor semnala descărcări electrice. Vântul va sufla slab și moderat, cu intensificări temporare</w:t>
      </w:r>
      <w:r>
        <w:rPr>
          <w:lang w:val="it-IT"/>
        </w:rPr>
        <w:t xml:space="preserve"> </w:t>
      </w:r>
      <w:r w:rsidRPr="00C42657">
        <w:rPr>
          <w:lang w:val="it-IT"/>
        </w:rPr>
        <w:t>în zonele montane, în regiunile nord-vestice și doar izolat în celelalte zone. Temperaturile maxime se vor încadra între</w:t>
      </w:r>
      <w:r>
        <w:rPr>
          <w:lang w:val="it-IT"/>
        </w:rPr>
        <w:t xml:space="preserve"> </w:t>
      </w:r>
      <w:r w:rsidRPr="00C42657">
        <w:rPr>
          <w:lang w:val="it-IT"/>
        </w:rPr>
        <w:t>16 și 29 de grade, iar cele minime între 6 și 17 grade. Dimineața și noaptea, pe alocuri va fi ceață.</w:t>
      </w:r>
    </w:p>
    <w:p w14:paraId="6C1B2877" w14:textId="77777777" w:rsidR="008126C5" w:rsidRPr="005679FF" w:rsidRDefault="008126C5" w:rsidP="008126C5">
      <w:pPr>
        <w:spacing w:after="0" w:line="240" w:lineRule="auto"/>
        <w:ind w:left="720"/>
      </w:pPr>
      <w:r w:rsidRPr="00757678">
        <w:rPr>
          <w:b/>
          <w:lang w:val="it-IT"/>
        </w:rPr>
        <w:t>La Bucureşti</w:t>
      </w:r>
      <w:r>
        <w:rPr>
          <w:b/>
          <w:lang w:val="it-IT"/>
        </w:rPr>
        <w:t>,</w:t>
      </w:r>
      <w:r>
        <w:t xml:space="preserve"> v</w:t>
      </w:r>
      <w:r w:rsidRPr="00C42657">
        <w:t>alorile termice se vor situa cu mult peste mediile climatologice specifice datei. Cerul va fi variabil, iar vântul va sufla</w:t>
      </w:r>
      <w:r>
        <w:t xml:space="preserve"> </w:t>
      </w:r>
      <w:r w:rsidRPr="00C42657">
        <w:t>slab și moderat. Temperatura maximă se va situa în jurul valorii de 26 de grade, iar cea minimă va fi de 10...13 grade.</w:t>
      </w:r>
    </w:p>
    <w:p w14:paraId="3A77634F" w14:textId="77777777" w:rsidR="008126C5" w:rsidRDefault="008126C5" w:rsidP="008126C5">
      <w:pPr>
        <w:pStyle w:val="Heading6"/>
        <w:spacing w:before="0"/>
        <w:ind w:left="720"/>
        <w:rPr>
          <w:rFonts w:ascii="Trebuchet MS" w:hAnsi="Trebuchet MS"/>
          <w:b/>
          <w:color w:val="auto"/>
          <w:sz w:val="24"/>
          <w:szCs w:val="24"/>
          <w:lang w:val="it-IT"/>
        </w:rPr>
      </w:pPr>
    </w:p>
    <w:p w14:paraId="11299A0E" w14:textId="77777777" w:rsidR="008126C5" w:rsidRDefault="008126C5" w:rsidP="008126C5">
      <w:pPr>
        <w:pStyle w:val="Heading6"/>
        <w:spacing w:before="0"/>
        <w:ind w:left="720"/>
        <w:rPr>
          <w:rFonts w:ascii="Trebuchet MS" w:hAnsi="Trebuchet MS"/>
          <w:b/>
          <w:color w:val="auto"/>
          <w:sz w:val="24"/>
          <w:szCs w:val="24"/>
          <w:lang w:val="it-IT"/>
        </w:rPr>
      </w:pPr>
    </w:p>
    <w:p w14:paraId="0407C216" w14:textId="77777777" w:rsidR="008126C5" w:rsidRPr="002D3ED3" w:rsidRDefault="008126C5" w:rsidP="008126C5">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38AD85E8" w14:textId="77777777" w:rsidR="008126C5" w:rsidRPr="00757678" w:rsidRDefault="008126C5" w:rsidP="008126C5">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73F6ECCB" w14:textId="77777777" w:rsidR="008126C5" w:rsidRPr="00757678" w:rsidRDefault="008126C5" w:rsidP="008126C5">
      <w:pPr>
        <w:spacing w:after="0" w:line="240" w:lineRule="auto"/>
        <w:ind w:left="720"/>
        <w:rPr>
          <w:noProof/>
        </w:rPr>
      </w:pPr>
      <w:r w:rsidRPr="00757678">
        <w:rPr>
          <w:noProof/>
        </w:rPr>
        <w:t>Nu au fost semnalate evenimente deosebite.</w:t>
      </w:r>
    </w:p>
    <w:p w14:paraId="62E72DF1" w14:textId="77777777" w:rsidR="008126C5" w:rsidRDefault="008126C5" w:rsidP="008126C5">
      <w:pPr>
        <w:pStyle w:val="BlockText"/>
        <w:ind w:left="720" w:right="0"/>
        <w:rPr>
          <w:rFonts w:ascii="Trebuchet MS" w:hAnsi="Trebuchet MS"/>
          <w:bCs w:val="0"/>
          <w:color w:val="000000"/>
          <w:sz w:val="22"/>
          <w:szCs w:val="22"/>
        </w:rPr>
      </w:pPr>
    </w:p>
    <w:p w14:paraId="59DA5CAD" w14:textId="77777777" w:rsidR="008126C5" w:rsidRDefault="008126C5" w:rsidP="008126C5">
      <w:pPr>
        <w:pStyle w:val="BlockText"/>
        <w:ind w:left="720" w:right="0"/>
        <w:rPr>
          <w:rFonts w:ascii="Trebuchet MS" w:hAnsi="Trebuchet MS"/>
          <w:bCs w:val="0"/>
          <w:color w:val="000000"/>
          <w:sz w:val="22"/>
          <w:szCs w:val="22"/>
        </w:rPr>
      </w:pPr>
    </w:p>
    <w:p w14:paraId="292248CB" w14:textId="77777777" w:rsidR="008126C5" w:rsidRDefault="008126C5" w:rsidP="008126C5">
      <w:pPr>
        <w:pStyle w:val="BlockText"/>
        <w:ind w:left="720" w:right="0"/>
        <w:rPr>
          <w:rFonts w:ascii="Trebuchet MS" w:hAnsi="Trebuchet MS"/>
          <w:bCs w:val="0"/>
          <w:color w:val="000000"/>
          <w:sz w:val="22"/>
          <w:szCs w:val="22"/>
        </w:rPr>
      </w:pPr>
    </w:p>
    <w:p w14:paraId="234F5576" w14:textId="77777777" w:rsidR="008126C5" w:rsidRPr="00757678" w:rsidRDefault="008126C5" w:rsidP="008126C5">
      <w:pPr>
        <w:pStyle w:val="BlockText"/>
        <w:ind w:left="720" w:right="0"/>
        <w:rPr>
          <w:rFonts w:ascii="Trebuchet MS" w:hAnsi="Trebuchet MS"/>
          <w:bCs w:val="0"/>
          <w:color w:val="000000"/>
          <w:sz w:val="22"/>
          <w:szCs w:val="22"/>
        </w:rPr>
      </w:pPr>
      <w:r>
        <w:rPr>
          <w:rFonts w:ascii="Trebuchet MS" w:hAnsi="Trebuchet MS"/>
          <w:bCs w:val="0"/>
          <w:color w:val="000000"/>
          <w:sz w:val="22"/>
          <w:szCs w:val="22"/>
        </w:rPr>
        <w:lastRenderedPageBreak/>
        <w:t>2</w:t>
      </w:r>
      <w:r w:rsidRPr="00757678">
        <w:rPr>
          <w:rFonts w:ascii="Trebuchet MS" w:hAnsi="Trebuchet MS"/>
          <w:bCs w:val="0"/>
          <w:color w:val="000000"/>
          <w:sz w:val="22"/>
          <w:szCs w:val="22"/>
        </w:rPr>
        <w:t>.2. Pe râurile interioare</w:t>
      </w:r>
    </w:p>
    <w:p w14:paraId="358E4ECF" w14:textId="77777777" w:rsidR="008126C5" w:rsidRDefault="008126C5" w:rsidP="008126C5">
      <w:pPr>
        <w:spacing w:after="0" w:line="240" w:lineRule="auto"/>
        <w:ind w:left="720"/>
        <w:rPr>
          <w:noProof/>
        </w:rPr>
      </w:pPr>
      <w:r w:rsidRPr="00E72448">
        <w:rPr>
          <w:b/>
          <w:noProof/>
        </w:rPr>
        <w:t>ABA Siret Bac</w:t>
      </w:r>
      <w:r>
        <w:rPr>
          <w:b/>
          <w:noProof/>
        </w:rPr>
        <w:t>ă</w:t>
      </w:r>
      <w:r w:rsidRPr="00E72448">
        <w:rPr>
          <w:b/>
          <w:noProof/>
        </w:rPr>
        <w:t>u</w:t>
      </w:r>
      <w:r>
        <w:rPr>
          <w:noProof/>
        </w:rPr>
        <w:t xml:space="preserve"> revine cu informații referitoare la </w:t>
      </w:r>
      <w:r w:rsidRPr="009A0E35">
        <w:rPr>
          <w:noProof/>
        </w:rPr>
        <w:t>sesizare</w:t>
      </w:r>
      <w:r>
        <w:rPr>
          <w:noProof/>
        </w:rPr>
        <w:t>a</w:t>
      </w:r>
      <w:r w:rsidRPr="009A0E35">
        <w:rPr>
          <w:noProof/>
        </w:rPr>
        <w:t xml:space="preserve"> </w:t>
      </w:r>
      <w:r>
        <w:rPr>
          <w:noProof/>
        </w:rPr>
        <w:t xml:space="preserve">unei </w:t>
      </w:r>
      <w:r w:rsidRPr="009A0E35">
        <w:rPr>
          <w:noProof/>
        </w:rPr>
        <w:t>mortalit</w:t>
      </w:r>
      <w:r>
        <w:rPr>
          <w:noProof/>
        </w:rPr>
        <w:t>ăți</w:t>
      </w:r>
      <w:r w:rsidRPr="009A0E35">
        <w:rPr>
          <w:noProof/>
        </w:rPr>
        <w:t xml:space="preserve"> piscicol</w:t>
      </w:r>
      <w:r>
        <w:rPr>
          <w:noProof/>
        </w:rPr>
        <w:t>e</w:t>
      </w:r>
      <w:r w:rsidRPr="009A0E35">
        <w:rPr>
          <w:noProof/>
        </w:rPr>
        <w:t xml:space="preserve"> pe r</w:t>
      </w:r>
      <w:r>
        <w:rPr>
          <w:noProof/>
        </w:rPr>
        <w:t>â</w:t>
      </w:r>
      <w:r w:rsidRPr="009A0E35">
        <w:rPr>
          <w:noProof/>
        </w:rPr>
        <w:t>ul Bistri</w:t>
      </w:r>
      <w:r>
        <w:rPr>
          <w:noProof/>
        </w:rPr>
        <w:t>ț</w:t>
      </w:r>
      <w:r w:rsidRPr="009A0E35">
        <w:rPr>
          <w:noProof/>
        </w:rPr>
        <w:t xml:space="preserve">a, </w:t>
      </w:r>
      <w:r>
        <w:rPr>
          <w:noProof/>
        </w:rPr>
        <w:t>M</w:t>
      </w:r>
      <w:r w:rsidRPr="009A0E35">
        <w:rPr>
          <w:noProof/>
        </w:rPr>
        <w:t>un</w:t>
      </w:r>
      <w:r>
        <w:rPr>
          <w:noProof/>
        </w:rPr>
        <w:t>.</w:t>
      </w:r>
      <w:r w:rsidRPr="009A0E35">
        <w:rPr>
          <w:noProof/>
        </w:rPr>
        <w:t xml:space="preserve"> Bac</w:t>
      </w:r>
      <w:r>
        <w:rPr>
          <w:noProof/>
        </w:rPr>
        <w:t>ă</w:t>
      </w:r>
      <w:r w:rsidRPr="009A0E35">
        <w:rPr>
          <w:noProof/>
        </w:rPr>
        <w:t>u, jud. Bac</w:t>
      </w:r>
      <w:r>
        <w:rPr>
          <w:noProof/>
        </w:rPr>
        <w:t>ă</w:t>
      </w:r>
      <w:r w:rsidRPr="009A0E35">
        <w:rPr>
          <w:noProof/>
        </w:rPr>
        <w:t>u) cu rezultatele analizelor probelor de ap</w:t>
      </w:r>
      <w:r>
        <w:rPr>
          <w:noProof/>
        </w:rPr>
        <w:t>ă</w:t>
      </w:r>
      <w:r w:rsidRPr="009A0E35">
        <w:rPr>
          <w:noProof/>
        </w:rPr>
        <w:t xml:space="preserve">, prelevate </w:t>
      </w:r>
      <w:r>
        <w:rPr>
          <w:noProof/>
        </w:rPr>
        <w:t>î</w:t>
      </w:r>
      <w:r w:rsidRPr="009A0E35">
        <w:rPr>
          <w:noProof/>
        </w:rPr>
        <w:t>n data de 23.10.2023:</w:t>
      </w:r>
    </w:p>
    <w:p w14:paraId="2F7224DB" w14:textId="77777777" w:rsidR="008126C5" w:rsidRPr="00E72448" w:rsidRDefault="008126C5" w:rsidP="008126C5">
      <w:pPr>
        <w:spacing w:after="0" w:line="240" w:lineRule="auto"/>
        <w:ind w:left="720"/>
        <w:rPr>
          <w:noProof/>
        </w:rPr>
      </w:pPr>
      <w:r w:rsidRPr="00E72448">
        <w:rPr>
          <w:noProof/>
        </w:rPr>
        <w:t>1 - r</w:t>
      </w:r>
      <w:r>
        <w:rPr>
          <w:noProof/>
        </w:rPr>
        <w:t>â</w:t>
      </w:r>
      <w:r w:rsidRPr="00E72448">
        <w:rPr>
          <w:noProof/>
        </w:rPr>
        <w:t>u Bistri</w:t>
      </w:r>
      <w:r>
        <w:rPr>
          <w:noProof/>
        </w:rPr>
        <w:t>ț</w:t>
      </w:r>
      <w:r w:rsidRPr="00E72448">
        <w:rPr>
          <w:noProof/>
        </w:rPr>
        <w:t xml:space="preserve">a </w:t>
      </w:r>
      <w:r w:rsidRPr="00E72448">
        <w:rPr>
          <w:bCs/>
          <w:noProof/>
        </w:rPr>
        <w:t>aval baraj lac Agrement mun. Bac</w:t>
      </w:r>
      <w:r>
        <w:rPr>
          <w:bCs/>
          <w:noProof/>
        </w:rPr>
        <w:t>ă</w:t>
      </w:r>
      <w:r w:rsidRPr="00E72448">
        <w:rPr>
          <w:bCs/>
          <w:noProof/>
        </w:rPr>
        <w:t>u</w:t>
      </w:r>
    </w:p>
    <w:p w14:paraId="48FCAE3D" w14:textId="77777777" w:rsidR="008126C5" w:rsidRPr="00E72448" w:rsidRDefault="008126C5" w:rsidP="008126C5">
      <w:pPr>
        <w:spacing w:after="0" w:line="240" w:lineRule="auto"/>
        <w:ind w:left="720"/>
        <w:rPr>
          <w:noProof/>
        </w:rPr>
      </w:pPr>
      <w:r w:rsidRPr="00E72448">
        <w:rPr>
          <w:noProof/>
        </w:rPr>
        <w:t xml:space="preserve">2 - </w:t>
      </w:r>
      <w:r w:rsidRPr="00E72448">
        <w:rPr>
          <w:bCs/>
          <w:noProof/>
        </w:rPr>
        <w:t>evacuare sta</w:t>
      </w:r>
      <w:r>
        <w:rPr>
          <w:bCs/>
          <w:noProof/>
        </w:rPr>
        <w:t>ț</w:t>
      </w:r>
      <w:r w:rsidRPr="00E72448">
        <w:rPr>
          <w:bCs/>
          <w:noProof/>
        </w:rPr>
        <w:t>ie epurare ape uzate CRAB mun. Bac</w:t>
      </w:r>
      <w:r>
        <w:rPr>
          <w:bCs/>
          <w:noProof/>
        </w:rPr>
        <w:t>ă</w:t>
      </w:r>
      <w:r w:rsidRPr="00E72448">
        <w:rPr>
          <w:bCs/>
          <w:noProof/>
        </w:rPr>
        <w:t>u</w:t>
      </w:r>
    </w:p>
    <w:p w14:paraId="20B53B58" w14:textId="77777777" w:rsidR="008126C5" w:rsidRPr="00E72448" w:rsidRDefault="008126C5" w:rsidP="008126C5">
      <w:pPr>
        <w:spacing w:after="0" w:line="240" w:lineRule="auto"/>
        <w:ind w:left="720"/>
        <w:rPr>
          <w:noProof/>
        </w:rPr>
      </w:pPr>
      <w:r w:rsidRPr="00E72448">
        <w:rPr>
          <w:noProof/>
        </w:rPr>
        <w:t xml:space="preserve">3 - </w:t>
      </w:r>
      <w:r w:rsidRPr="00E72448">
        <w:rPr>
          <w:bCs/>
          <w:noProof/>
        </w:rPr>
        <w:t>300 m de evacuare sta</w:t>
      </w:r>
      <w:r>
        <w:rPr>
          <w:bCs/>
          <w:noProof/>
        </w:rPr>
        <w:t>ț</w:t>
      </w:r>
      <w:r w:rsidRPr="00E72448">
        <w:rPr>
          <w:bCs/>
          <w:noProof/>
        </w:rPr>
        <w:t>ie epurare ape uzate CRAB mun Bac</w:t>
      </w:r>
      <w:r>
        <w:rPr>
          <w:bCs/>
          <w:noProof/>
        </w:rPr>
        <w:t>ă</w:t>
      </w:r>
      <w:r w:rsidRPr="00E72448">
        <w:rPr>
          <w:bCs/>
          <w:noProof/>
        </w:rPr>
        <w:t>u (pod SOFERT)</w:t>
      </w:r>
    </w:p>
    <w:p w14:paraId="63B268FF" w14:textId="77777777" w:rsidR="008126C5" w:rsidRPr="00E72448" w:rsidRDefault="008126C5" w:rsidP="008126C5">
      <w:pPr>
        <w:spacing w:after="0" w:line="240" w:lineRule="auto"/>
        <w:ind w:left="720"/>
        <w:rPr>
          <w:noProof/>
          <w:lang w:val="it-IT"/>
        </w:rPr>
      </w:pPr>
      <w:r w:rsidRPr="00E72448">
        <w:rPr>
          <w:noProof/>
          <w:lang w:val="it-IT"/>
        </w:rPr>
        <w:t>4.-</w:t>
      </w:r>
      <w:r w:rsidRPr="00E72448">
        <w:rPr>
          <w:bCs/>
          <w:noProof/>
          <w:lang w:val="it-IT"/>
        </w:rPr>
        <w:t xml:space="preserve"> coada acumulare Galbeni zona centura ocolitoare Bac</w:t>
      </w:r>
      <w:r>
        <w:rPr>
          <w:bCs/>
          <w:noProof/>
          <w:lang w:val="it-IT"/>
        </w:rPr>
        <w:t>ă</w:t>
      </w:r>
      <w:r w:rsidRPr="00E72448">
        <w:rPr>
          <w:bCs/>
          <w:noProof/>
          <w:lang w:val="it-IT"/>
        </w:rPr>
        <w:t>u</w:t>
      </w:r>
    </w:p>
    <w:p w14:paraId="4E72EA29" w14:textId="77777777" w:rsidR="008126C5" w:rsidRPr="00E72448" w:rsidRDefault="008126C5" w:rsidP="008126C5">
      <w:pPr>
        <w:spacing w:after="0" w:line="240" w:lineRule="auto"/>
        <w:ind w:left="720"/>
        <w:rPr>
          <w:noProof/>
          <w:lang w:val="it-IT"/>
        </w:rPr>
      </w:pPr>
    </w:p>
    <w:p w14:paraId="298DF379" w14:textId="77777777" w:rsidR="008126C5" w:rsidRDefault="008126C5" w:rsidP="008126C5">
      <w:pPr>
        <w:spacing w:after="0" w:line="240" w:lineRule="auto"/>
        <w:ind w:left="720"/>
        <w:rPr>
          <w:noProof/>
          <w:lang w:val="it-IT"/>
        </w:rPr>
      </w:pPr>
      <w:r w:rsidRPr="00E72448">
        <w:rPr>
          <w:noProof/>
          <w:lang w:val="it-IT"/>
        </w:rPr>
        <w:t>Din analizele fizico- chimice efectuate de Laboratorul de Calitate a Apei din cadrul S.G.A. Suceava,  au rezultat urm</w:t>
      </w:r>
      <w:r>
        <w:rPr>
          <w:noProof/>
          <w:lang w:val="it-IT"/>
        </w:rPr>
        <w:t>ă</w:t>
      </w:r>
      <w:r w:rsidRPr="00E72448">
        <w:rPr>
          <w:noProof/>
          <w:lang w:val="it-IT"/>
        </w:rPr>
        <w:t xml:space="preserve">toarele valori : </w:t>
      </w:r>
    </w:p>
    <w:p w14:paraId="45C234DC" w14:textId="77777777" w:rsidR="008126C5" w:rsidRPr="00E72448" w:rsidRDefault="008126C5" w:rsidP="008126C5">
      <w:pPr>
        <w:spacing w:after="0" w:line="240" w:lineRule="auto"/>
        <w:jc w:val="center"/>
        <w:rPr>
          <w:rFonts w:ascii="Calibri" w:eastAsia="Times New Roman" w:hAnsi="Calibri"/>
        </w:rPr>
      </w:pPr>
    </w:p>
    <w:tbl>
      <w:tblPr>
        <w:tblW w:w="8999" w:type="dxa"/>
        <w:tblInd w:w="1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712"/>
        <w:gridCol w:w="840"/>
        <w:gridCol w:w="841"/>
        <w:gridCol w:w="1005"/>
        <w:gridCol w:w="851"/>
        <w:gridCol w:w="980"/>
        <w:gridCol w:w="1051"/>
        <w:gridCol w:w="1099"/>
        <w:gridCol w:w="1158"/>
      </w:tblGrid>
      <w:tr w:rsidR="008126C5" w:rsidRPr="00E72448" w14:paraId="6BD89DD5" w14:textId="77777777" w:rsidTr="005E0FFB">
        <w:trPr>
          <w:trHeight w:val="867"/>
        </w:trPr>
        <w:tc>
          <w:tcPr>
            <w:tcW w:w="462" w:type="dxa"/>
          </w:tcPr>
          <w:p w14:paraId="4672B5D6" w14:textId="77777777" w:rsidR="008126C5" w:rsidRPr="00E72448" w:rsidRDefault="008126C5" w:rsidP="005E0FFB">
            <w:pPr>
              <w:spacing w:after="0" w:line="240" w:lineRule="auto"/>
              <w:jc w:val="center"/>
              <w:rPr>
                <w:rFonts w:ascii="Calibri" w:eastAsia="Times New Roman" w:hAnsi="Calibri"/>
                <w:sz w:val="18"/>
                <w:szCs w:val="18"/>
                <w:lang w:val="it-IT"/>
              </w:rPr>
            </w:pPr>
          </w:p>
          <w:p w14:paraId="39B6AB62" w14:textId="77777777" w:rsidR="008126C5" w:rsidRPr="00E72448" w:rsidRDefault="008126C5" w:rsidP="005E0FFB">
            <w:pPr>
              <w:spacing w:after="0" w:line="240" w:lineRule="auto"/>
              <w:jc w:val="center"/>
              <w:rPr>
                <w:rFonts w:ascii="Calibri" w:eastAsia="Times New Roman" w:hAnsi="Calibri"/>
                <w:sz w:val="18"/>
                <w:szCs w:val="18"/>
                <w:lang w:val="it-IT"/>
              </w:rPr>
            </w:pPr>
          </w:p>
          <w:p w14:paraId="2FD9A3DF" w14:textId="77777777" w:rsidR="008126C5" w:rsidRPr="00E72448" w:rsidRDefault="008126C5" w:rsidP="005E0FFB">
            <w:pPr>
              <w:spacing w:after="0" w:line="240" w:lineRule="auto"/>
              <w:jc w:val="center"/>
              <w:rPr>
                <w:rFonts w:ascii="Calibri" w:eastAsia="Times New Roman" w:hAnsi="Calibri"/>
                <w:sz w:val="18"/>
                <w:szCs w:val="18"/>
              </w:rPr>
            </w:pPr>
            <w:r w:rsidRPr="00E72448">
              <w:rPr>
                <w:rFonts w:ascii="Calibri" w:eastAsia="Times New Roman" w:hAnsi="Calibri"/>
                <w:sz w:val="18"/>
                <w:szCs w:val="18"/>
              </w:rPr>
              <w:t>Nr. crt.</w:t>
            </w:r>
          </w:p>
        </w:tc>
        <w:tc>
          <w:tcPr>
            <w:tcW w:w="712" w:type="dxa"/>
          </w:tcPr>
          <w:p w14:paraId="4B70709C" w14:textId="77777777" w:rsidR="008126C5" w:rsidRPr="00E72448" w:rsidRDefault="008126C5" w:rsidP="005E0FFB">
            <w:pPr>
              <w:spacing w:after="0" w:line="240" w:lineRule="auto"/>
              <w:jc w:val="center"/>
              <w:rPr>
                <w:rFonts w:ascii="Calibri" w:eastAsia="Times New Roman" w:hAnsi="Calibri"/>
                <w:sz w:val="18"/>
                <w:szCs w:val="18"/>
              </w:rPr>
            </w:pPr>
            <w:r w:rsidRPr="00E72448">
              <w:rPr>
                <w:rFonts w:ascii="Calibri" w:eastAsia="Times New Roman" w:hAnsi="Calibri"/>
                <w:sz w:val="18"/>
                <w:szCs w:val="18"/>
              </w:rPr>
              <w:t>pH</w:t>
            </w:r>
          </w:p>
          <w:p w14:paraId="339CFF44" w14:textId="77777777" w:rsidR="008126C5" w:rsidRPr="00E72448" w:rsidRDefault="008126C5" w:rsidP="005E0FFB">
            <w:pPr>
              <w:spacing w:after="0" w:line="240" w:lineRule="auto"/>
              <w:jc w:val="center"/>
              <w:rPr>
                <w:rFonts w:ascii="Calibri" w:eastAsia="Times New Roman" w:hAnsi="Calibri"/>
                <w:b/>
                <w:sz w:val="18"/>
                <w:szCs w:val="18"/>
              </w:rPr>
            </w:pPr>
          </w:p>
          <w:p w14:paraId="28F9B171" w14:textId="77777777" w:rsidR="008126C5" w:rsidRPr="00E72448" w:rsidRDefault="008126C5" w:rsidP="005E0FFB">
            <w:pPr>
              <w:spacing w:after="0" w:line="240" w:lineRule="auto"/>
              <w:jc w:val="center"/>
              <w:rPr>
                <w:rFonts w:ascii="Calibri" w:eastAsia="Times New Roman" w:hAnsi="Calibri"/>
                <w:b/>
                <w:sz w:val="18"/>
                <w:szCs w:val="18"/>
              </w:rPr>
            </w:pPr>
          </w:p>
          <w:p w14:paraId="0E18F872" w14:textId="77777777" w:rsidR="008126C5" w:rsidRPr="00E72448" w:rsidRDefault="008126C5" w:rsidP="005E0FFB">
            <w:pPr>
              <w:spacing w:after="0" w:line="240" w:lineRule="auto"/>
              <w:jc w:val="center"/>
              <w:rPr>
                <w:rFonts w:ascii="Calibri" w:eastAsia="Times New Roman" w:hAnsi="Calibri"/>
                <w:b/>
                <w:sz w:val="18"/>
                <w:szCs w:val="18"/>
              </w:rPr>
            </w:pPr>
            <w:r w:rsidRPr="00E72448">
              <w:rPr>
                <w:rFonts w:ascii="Calibri" w:eastAsia="Times New Roman" w:hAnsi="Calibri"/>
                <w:b/>
                <w:sz w:val="18"/>
                <w:szCs w:val="18"/>
              </w:rPr>
              <w:t>unitati pH</w:t>
            </w:r>
          </w:p>
        </w:tc>
        <w:tc>
          <w:tcPr>
            <w:tcW w:w="840" w:type="dxa"/>
          </w:tcPr>
          <w:p w14:paraId="6EFFF053" w14:textId="77777777" w:rsidR="008126C5" w:rsidRPr="00E72448" w:rsidRDefault="008126C5" w:rsidP="005E0FFB">
            <w:pPr>
              <w:spacing w:after="0" w:line="240" w:lineRule="auto"/>
              <w:jc w:val="center"/>
              <w:rPr>
                <w:rFonts w:ascii="Calibri" w:eastAsia="Times New Roman" w:hAnsi="Calibri"/>
                <w:sz w:val="18"/>
                <w:szCs w:val="18"/>
              </w:rPr>
            </w:pPr>
            <w:r w:rsidRPr="00E72448">
              <w:rPr>
                <w:rFonts w:ascii="Calibri" w:eastAsia="Times New Roman" w:hAnsi="Calibri"/>
                <w:sz w:val="18"/>
                <w:szCs w:val="18"/>
              </w:rPr>
              <w:t>CCOCr</w:t>
            </w:r>
          </w:p>
          <w:p w14:paraId="6BB381DB" w14:textId="77777777" w:rsidR="008126C5" w:rsidRPr="00E72448" w:rsidRDefault="008126C5" w:rsidP="005E0FFB">
            <w:pPr>
              <w:spacing w:after="0" w:line="240" w:lineRule="auto"/>
              <w:jc w:val="center"/>
              <w:rPr>
                <w:rFonts w:ascii="Calibri" w:eastAsia="Times New Roman" w:hAnsi="Calibri"/>
                <w:b/>
                <w:sz w:val="18"/>
                <w:szCs w:val="18"/>
              </w:rPr>
            </w:pPr>
          </w:p>
          <w:p w14:paraId="6089A95D" w14:textId="77777777" w:rsidR="008126C5" w:rsidRPr="00E72448" w:rsidRDefault="008126C5" w:rsidP="005E0FFB">
            <w:pPr>
              <w:spacing w:after="0" w:line="240" w:lineRule="auto"/>
              <w:jc w:val="center"/>
              <w:rPr>
                <w:rFonts w:ascii="Calibri" w:eastAsia="Times New Roman" w:hAnsi="Calibri"/>
                <w:b/>
                <w:sz w:val="18"/>
                <w:szCs w:val="18"/>
              </w:rPr>
            </w:pPr>
          </w:p>
          <w:p w14:paraId="1C3349E7" w14:textId="77777777" w:rsidR="008126C5" w:rsidRPr="00E72448" w:rsidRDefault="008126C5" w:rsidP="005E0FFB">
            <w:pPr>
              <w:spacing w:after="0" w:line="240" w:lineRule="auto"/>
              <w:jc w:val="center"/>
              <w:rPr>
                <w:rFonts w:ascii="Calibri" w:eastAsia="Times New Roman" w:hAnsi="Calibri"/>
                <w:b/>
                <w:sz w:val="18"/>
                <w:szCs w:val="18"/>
              </w:rPr>
            </w:pPr>
            <w:r w:rsidRPr="00E72448">
              <w:rPr>
                <w:rFonts w:ascii="Calibri" w:eastAsia="Times New Roman" w:hAnsi="Calibri"/>
                <w:b/>
                <w:sz w:val="18"/>
                <w:szCs w:val="18"/>
              </w:rPr>
              <w:t>mgO2/l</w:t>
            </w:r>
          </w:p>
        </w:tc>
        <w:tc>
          <w:tcPr>
            <w:tcW w:w="841" w:type="dxa"/>
          </w:tcPr>
          <w:p w14:paraId="76A6D2B8" w14:textId="77777777" w:rsidR="008126C5" w:rsidRPr="00E72448" w:rsidRDefault="008126C5" w:rsidP="005E0FFB">
            <w:pPr>
              <w:spacing w:after="0" w:line="240" w:lineRule="auto"/>
              <w:jc w:val="center"/>
              <w:rPr>
                <w:rFonts w:ascii="Calibri" w:eastAsia="Times New Roman" w:hAnsi="Calibri"/>
                <w:sz w:val="18"/>
                <w:szCs w:val="18"/>
              </w:rPr>
            </w:pPr>
            <w:r w:rsidRPr="00E72448">
              <w:rPr>
                <w:rFonts w:ascii="Calibri" w:eastAsia="Times New Roman" w:hAnsi="Calibri"/>
                <w:sz w:val="18"/>
                <w:szCs w:val="18"/>
              </w:rPr>
              <w:t>Amoniu</w:t>
            </w:r>
          </w:p>
          <w:p w14:paraId="78EED8B2" w14:textId="77777777" w:rsidR="008126C5" w:rsidRPr="00E72448" w:rsidRDefault="008126C5" w:rsidP="005E0FFB">
            <w:pPr>
              <w:spacing w:after="0" w:line="240" w:lineRule="auto"/>
              <w:jc w:val="center"/>
              <w:rPr>
                <w:rFonts w:ascii="Calibri" w:eastAsia="Times New Roman" w:hAnsi="Calibri"/>
                <w:b/>
                <w:sz w:val="18"/>
                <w:szCs w:val="18"/>
              </w:rPr>
            </w:pPr>
          </w:p>
          <w:p w14:paraId="7DFC2E9B" w14:textId="77777777" w:rsidR="008126C5" w:rsidRPr="00E72448" w:rsidRDefault="008126C5" w:rsidP="005E0FFB">
            <w:pPr>
              <w:spacing w:after="0" w:line="240" w:lineRule="auto"/>
              <w:jc w:val="center"/>
              <w:rPr>
                <w:rFonts w:ascii="Calibri" w:eastAsia="Times New Roman" w:hAnsi="Calibri"/>
                <w:b/>
                <w:sz w:val="18"/>
                <w:szCs w:val="18"/>
              </w:rPr>
            </w:pPr>
          </w:p>
          <w:p w14:paraId="4E94D995" w14:textId="77777777" w:rsidR="008126C5" w:rsidRPr="00E72448" w:rsidRDefault="008126C5" w:rsidP="005E0FFB">
            <w:pPr>
              <w:spacing w:after="0" w:line="240" w:lineRule="auto"/>
              <w:jc w:val="center"/>
              <w:rPr>
                <w:rFonts w:ascii="Calibri" w:eastAsia="Times New Roman" w:hAnsi="Calibri"/>
                <w:sz w:val="18"/>
                <w:szCs w:val="18"/>
              </w:rPr>
            </w:pPr>
            <w:r w:rsidRPr="00E72448">
              <w:rPr>
                <w:rFonts w:ascii="Calibri" w:eastAsia="Times New Roman" w:hAnsi="Calibri"/>
                <w:b/>
                <w:sz w:val="18"/>
                <w:szCs w:val="18"/>
              </w:rPr>
              <w:t>(mg/l</w:t>
            </w:r>
          </w:p>
        </w:tc>
        <w:tc>
          <w:tcPr>
            <w:tcW w:w="1005" w:type="dxa"/>
          </w:tcPr>
          <w:p w14:paraId="3F6C0AE9" w14:textId="77777777" w:rsidR="008126C5" w:rsidRPr="00E72448" w:rsidRDefault="008126C5" w:rsidP="005E0FFB">
            <w:pPr>
              <w:spacing w:after="0" w:line="240" w:lineRule="auto"/>
              <w:jc w:val="center"/>
              <w:rPr>
                <w:rFonts w:ascii="Calibri" w:eastAsia="Times New Roman" w:hAnsi="Calibri"/>
                <w:b/>
                <w:sz w:val="16"/>
                <w:szCs w:val="16"/>
                <w:lang w:val="it-IT"/>
              </w:rPr>
            </w:pPr>
            <w:r w:rsidRPr="00E72448">
              <w:rPr>
                <w:rFonts w:ascii="Arial" w:eastAsia="Times New Roman" w:hAnsi="Arial" w:cs="Arial"/>
                <w:sz w:val="16"/>
                <w:szCs w:val="16"/>
                <w:vertAlign w:val="superscript"/>
                <w:lang w:val="it-IT"/>
              </w:rPr>
              <w:t>1</w:t>
            </w:r>
            <w:r w:rsidRPr="00E72448">
              <w:rPr>
                <w:rFonts w:ascii="Arial" w:eastAsia="Times New Roman" w:hAnsi="Arial" w:cs="Arial"/>
                <w:sz w:val="16"/>
                <w:szCs w:val="16"/>
                <w:lang w:val="it-IT"/>
              </w:rPr>
              <w:t>Reziduu filtrabil la 105</w:t>
            </w:r>
            <w:r w:rsidRPr="00E72448">
              <w:rPr>
                <w:rFonts w:ascii="Arial" w:eastAsia="Times New Roman" w:hAnsi="Arial" w:cs="Arial"/>
                <w:sz w:val="16"/>
                <w:szCs w:val="16"/>
                <w:vertAlign w:val="superscript"/>
                <w:lang w:val="it-IT"/>
              </w:rPr>
              <w:t>0</w:t>
            </w:r>
            <w:r w:rsidRPr="00E72448">
              <w:rPr>
                <w:rFonts w:ascii="Arial" w:eastAsia="Times New Roman" w:hAnsi="Arial" w:cs="Arial"/>
                <w:sz w:val="16"/>
                <w:szCs w:val="16"/>
                <w:lang w:val="it-IT"/>
              </w:rPr>
              <w:t>C</w:t>
            </w:r>
          </w:p>
          <w:p w14:paraId="2EEB680F" w14:textId="77777777" w:rsidR="008126C5" w:rsidRPr="00E72448" w:rsidRDefault="008126C5" w:rsidP="005E0FFB">
            <w:pPr>
              <w:spacing w:after="0" w:line="240" w:lineRule="auto"/>
              <w:jc w:val="center"/>
              <w:rPr>
                <w:rFonts w:ascii="Calibri" w:eastAsia="Times New Roman" w:hAnsi="Calibri"/>
                <w:b/>
                <w:sz w:val="16"/>
                <w:szCs w:val="16"/>
                <w:lang w:val="it-IT"/>
              </w:rPr>
            </w:pPr>
          </w:p>
          <w:p w14:paraId="1803D201" w14:textId="77777777" w:rsidR="008126C5" w:rsidRPr="00E72448" w:rsidRDefault="008126C5" w:rsidP="005E0FFB">
            <w:pPr>
              <w:spacing w:after="0" w:line="240" w:lineRule="auto"/>
              <w:jc w:val="center"/>
              <w:rPr>
                <w:rFonts w:ascii="Calibri" w:eastAsia="Times New Roman" w:hAnsi="Calibri"/>
                <w:sz w:val="18"/>
                <w:szCs w:val="18"/>
                <w:lang w:val="it-IT"/>
              </w:rPr>
            </w:pPr>
            <w:r w:rsidRPr="00E72448">
              <w:rPr>
                <w:rFonts w:ascii="Arial" w:eastAsia="Times New Roman" w:hAnsi="Arial" w:cs="Arial"/>
                <w:lang w:val="it-IT"/>
              </w:rPr>
              <w:t>mg/l</w:t>
            </w:r>
          </w:p>
        </w:tc>
        <w:tc>
          <w:tcPr>
            <w:tcW w:w="851" w:type="dxa"/>
          </w:tcPr>
          <w:p w14:paraId="659C3FEF" w14:textId="77777777" w:rsidR="008126C5" w:rsidRPr="00E72448" w:rsidRDefault="008126C5" w:rsidP="005E0FFB">
            <w:pPr>
              <w:spacing w:after="0" w:line="240" w:lineRule="auto"/>
              <w:jc w:val="center"/>
              <w:rPr>
                <w:rFonts w:ascii="Calibri" w:eastAsia="Times New Roman" w:hAnsi="Calibri"/>
                <w:sz w:val="18"/>
                <w:szCs w:val="18"/>
              </w:rPr>
            </w:pPr>
            <w:r w:rsidRPr="00E72448">
              <w:rPr>
                <w:rFonts w:ascii="Calibri" w:eastAsia="Times New Roman" w:hAnsi="Calibri"/>
                <w:sz w:val="18"/>
                <w:szCs w:val="18"/>
              </w:rPr>
              <w:t>Fosfor total</w:t>
            </w:r>
          </w:p>
          <w:p w14:paraId="364DB048" w14:textId="77777777" w:rsidR="008126C5" w:rsidRPr="00E72448" w:rsidRDefault="008126C5" w:rsidP="005E0FFB">
            <w:pPr>
              <w:spacing w:after="0" w:line="240" w:lineRule="auto"/>
              <w:jc w:val="center"/>
              <w:rPr>
                <w:rFonts w:ascii="Calibri" w:eastAsia="Times New Roman" w:hAnsi="Calibri"/>
                <w:sz w:val="18"/>
                <w:szCs w:val="18"/>
              </w:rPr>
            </w:pPr>
          </w:p>
          <w:p w14:paraId="5D7088AE" w14:textId="77777777" w:rsidR="008126C5" w:rsidRPr="00E72448" w:rsidRDefault="008126C5" w:rsidP="005E0FFB">
            <w:pPr>
              <w:spacing w:after="0" w:line="240" w:lineRule="auto"/>
              <w:jc w:val="center"/>
              <w:rPr>
                <w:rFonts w:ascii="Calibri" w:eastAsia="Times New Roman" w:hAnsi="Calibri"/>
                <w:b/>
                <w:sz w:val="18"/>
                <w:szCs w:val="18"/>
              </w:rPr>
            </w:pPr>
            <w:r w:rsidRPr="00E72448">
              <w:rPr>
                <w:rFonts w:ascii="Calibri" w:eastAsia="Times New Roman" w:hAnsi="Calibri"/>
                <w:b/>
                <w:sz w:val="18"/>
                <w:szCs w:val="18"/>
              </w:rPr>
              <w:t>mgP/l</w:t>
            </w:r>
          </w:p>
        </w:tc>
        <w:tc>
          <w:tcPr>
            <w:tcW w:w="980" w:type="dxa"/>
          </w:tcPr>
          <w:p w14:paraId="413862D6" w14:textId="77777777" w:rsidR="008126C5" w:rsidRPr="00E72448" w:rsidRDefault="008126C5" w:rsidP="005E0FFB">
            <w:pPr>
              <w:spacing w:after="0" w:line="240" w:lineRule="auto"/>
              <w:jc w:val="center"/>
              <w:rPr>
                <w:rFonts w:ascii="Calibri" w:eastAsia="Times New Roman" w:hAnsi="Calibri"/>
                <w:sz w:val="18"/>
                <w:szCs w:val="18"/>
                <w:lang w:val="it-IT"/>
              </w:rPr>
            </w:pPr>
            <w:r w:rsidRPr="00E72448">
              <w:rPr>
                <w:rFonts w:ascii="Calibri" w:eastAsia="Times New Roman" w:hAnsi="Calibri"/>
                <w:sz w:val="18"/>
                <w:szCs w:val="18"/>
                <w:lang w:val="it-IT"/>
              </w:rPr>
              <w:t>Materii in  suspensie</w:t>
            </w:r>
          </w:p>
          <w:p w14:paraId="2B348D9A" w14:textId="77777777" w:rsidR="008126C5" w:rsidRPr="00E72448" w:rsidRDefault="008126C5" w:rsidP="005E0FFB">
            <w:pPr>
              <w:spacing w:after="0" w:line="240" w:lineRule="auto"/>
              <w:jc w:val="center"/>
              <w:rPr>
                <w:rFonts w:ascii="Calibri" w:eastAsia="Times New Roman" w:hAnsi="Calibri"/>
                <w:b/>
                <w:sz w:val="18"/>
                <w:szCs w:val="18"/>
                <w:lang w:val="it-IT"/>
              </w:rPr>
            </w:pPr>
          </w:p>
          <w:p w14:paraId="1A2908F7" w14:textId="77777777" w:rsidR="008126C5" w:rsidRPr="00E72448" w:rsidRDefault="008126C5" w:rsidP="005E0FFB">
            <w:pPr>
              <w:spacing w:after="0" w:line="240" w:lineRule="auto"/>
              <w:jc w:val="center"/>
              <w:rPr>
                <w:rFonts w:ascii="Calibri" w:eastAsia="Times New Roman" w:hAnsi="Calibri"/>
                <w:b/>
                <w:sz w:val="18"/>
                <w:szCs w:val="18"/>
                <w:lang w:val="it-IT"/>
              </w:rPr>
            </w:pPr>
            <w:r w:rsidRPr="00E72448">
              <w:rPr>
                <w:rFonts w:ascii="Calibri" w:eastAsia="Times New Roman" w:hAnsi="Calibri"/>
                <w:b/>
                <w:sz w:val="18"/>
                <w:szCs w:val="18"/>
                <w:lang w:val="it-IT"/>
              </w:rPr>
              <w:t>mg/l</w:t>
            </w:r>
          </w:p>
        </w:tc>
        <w:tc>
          <w:tcPr>
            <w:tcW w:w="1051" w:type="dxa"/>
          </w:tcPr>
          <w:p w14:paraId="3349B22A" w14:textId="77777777" w:rsidR="008126C5" w:rsidRPr="00E72448" w:rsidRDefault="008126C5" w:rsidP="005E0FFB">
            <w:pPr>
              <w:spacing w:after="0" w:line="240" w:lineRule="auto"/>
              <w:jc w:val="center"/>
              <w:rPr>
                <w:rFonts w:ascii="Arial" w:eastAsia="Times New Roman" w:hAnsi="Arial" w:cs="Arial"/>
                <w:sz w:val="16"/>
                <w:szCs w:val="16"/>
              </w:rPr>
            </w:pPr>
            <w:r w:rsidRPr="00E72448">
              <w:rPr>
                <w:rFonts w:ascii="Arial" w:eastAsia="Times New Roman" w:hAnsi="Arial" w:cs="Arial"/>
                <w:sz w:val="16"/>
                <w:szCs w:val="16"/>
                <w:vertAlign w:val="superscript"/>
              </w:rPr>
              <w:t>1</w:t>
            </w:r>
            <w:r w:rsidRPr="00E72448">
              <w:rPr>
                <w:rFonts w:ascii="Arial" w:eastAsia="Times New Roman" w:hAnsi="Arial" w:cs="Arial"/>
                <w:sz w:val="16"/>
                <w:szCs w:val="16"/>
              </w:rPr>
              <w:t>Substanţe extractibile</w:t>
            </w:r>
          </w:p>
          <w:p w14:paraId="2D44C535" w14:textId="77777777" w:rsidR="008126C5" w:rsidRPr="00E72448" w:rsidRDefault="008126C5" w:rsidP="005E0FFB">
            <w:pPr>
              <w:spacing w:after="0" w:line="240" w:lineRule="auto"/>
              <w:jc w:val="center"/>
              <w:rPr>
                <w:rFonts w:ascii="Arial" w:eastAsia="Times New Roman" w:hAnsi="Arial" w:cs="Arial"/>
                <w:b/>
                <w:sz w:val="16"/>
                <w:szCs w:val="16"/>
              </w:rPr>
            </w:pPr>
          </w:p>
          <w:p w14:paraId="424E54D3" w14:textId="77777777" w:rsidR="008126C5" w:rsidRPr="00E72448" w:rsidRDefault="008126C5" w:rsidP="005E0FFB">
            <w:pPr>
              <w:spacing w:after="0" w:line="240" w:lineRule="auto"/>
              <w:jc w:val="left"/>
              <w:rPr>
                <w:rFonts w:ascii="Calibri" w:eastAsia="Times New Roman" w:hAnsi="Calibri"/>
                <w:b/>
                <w:sz w:val="16"/>
                <w:szCs w:val="16"/>
              </w:rPr>
            </w:pPr>
            <w:r w:rsidRPr="00E72448">
              <w:rPr>
                <w:rFonts w:ascii="Arial" w:eastAsia="Times New Roman" w:hAnsi="Arial" w:cs="Arial"/>
                <w:sz w:val="16"/>
                <w:szCs w:val="16"/>
              </w:rPr>
              <w:t xml:space="preserve">    mg/l</w:t>
            </w:r>
          </w:p>
        </w:tc>
        <w:tc>
          <w:tcPr>
            <w:tcW w:w="1099" w:type="dxa"/>
          </w:tcPr>
          <w:p w14:paraId="521902EF" w14:textId="77777777" w:rsidR="008126C5" w:rsidRPr="00E72448" w:rsidRDefault="008126C5" w:rsidP="005E0FFB">
            <w:pPr>
              <w:spacing w:after="0" w:line="240" w:lineRule="auto"/>
              <w:jc w:val="center"/>
              <w:rPr>
                <w:rFonts w:ascii="Calibri" w:eastAsia="Times New Roman" w:hAnsi="Calibri"/>
                <w:sz w:val="18"/>
                <w:szCs w:val="18"/>
              </w:rPr>
            </w:pPr>
            <w:r w:rsidRPr="00E72448">
              <w:rPr>
                <w:rFonts w:ascii="Calibri" w:eastAsia="Times New Roman" w:hAnsi="Calibri"/>
                <w:sz w:val="18"/>
                <w:szCs w:val="18"/>
              </w:rPr>
              <w:t>Cloruri</w:t>
            </w:r>
          </w:p>
          <w:p w14:paraId="24927453" w14:textId="77777777" w:rsidR="008126C5" w:rsidRPr="00E72448" w:rsidRDefault="008126C5" w:rsidP="005E0FFB">
            <w:pPr>
              <w:spacing w:after="0" w:line="240" w:lineRule="auto"/>
              <w:jc w:val="center"/>
              <w:rPr>
                <w:rFonts w:ascii="Calibri" w:eastAsia="Times New Roman" w:hAnsi="Calibri"/>
                <w:sz w:val="18"/>
                <w:szCs w:val="18"/>
              </w:rPr>
            </w:pPr>
          </w:p>
          <w:p w14:paraId="21856467" w14:textId="77777777" w:rsidR="008126C5" w:rsidRPr="00E72448" w:rsidRDefault="008126C5" w:rsidP="005E0FFB">
            <w:pPr>
              <w:spacing w:after="0" w:line="240" w:lineRule="auto"/>
              <w:jc w:val="center"/>
              <w:rPr>
                <w:rFonts w:ascii="Calibri" w:eastAsia="Times New Roman" w:hAnsi="Calibri"/>
                <w:b/>
                <w:sz w:val="18"/>
                <w:szCs w:val="18"/>
              </w:rPr>
            </w:pPr>
          </w:p>
          <w:p w14:paraId="15698B80" w14:textId="77777777" w:rsidR="008126C5" w:rsidRPr="00E72448" w:rsidRDefault="008126C5" w:rsidP="005E0FFB">
            <w:pPr>
              <w:spacing w:after="0" w:line="240" w:lineRule="auto"/>
              <w:jc w:val="center"/>
              <w:rPr>
                <w:rFonts w:ascii="Calibri" w:eastAsia="Times New Roman" w:hAnsi="Calibri"/>
                <w:b/>
                <w:sz w:val="18"/>
                <w:szCs w:val="18"/>
              </w:rPr>
            </w:pPr>
            <w:r w:rsidRPr="00E72448">
              <w:rPr>
                <w:rFonts w:ascii="Calibri" w:eastAsia="Times New Roman" w:hAnsi="Calibri"/>
                <w:b/>
                <w:sz w:val="18"/>
                <w:szCs w:val="18"/>
              </w:rPr>
              <w:t>mg/l</w:t>
            </w:r>
          </w:p>
        </w:tc>
        <w:tc>
          <w:tcPr>
            <w:tcW w:w="1158" w:type="dxa"/>
          </w:tcPr>
          <w:p w14:paraId="0D197D4D" w14:textId="77777777" w:rsidR="008126C5" w:rsidRPr="00E72448" w:rsidRDefault="008126C5" w:rsidP="005E0FFB">
            <w:pPr>
              <w:spacing w:after="0" w:line="240" w:lineRule="auto"/>
              <w:jc w:val="center"/>
              <w:rPr>
                <w:rFonts w:ascii="Calibri" w:eastAsia="Times New Roman" w:hAnsi="Calibri"/>
                <w:sz w:val="18"/>
                <w:szCs w:val="18"/>
                <w:lang w:val="it-IT"/>
              </w:rPr>
            </w:pPr>
            <w:r w:rsidRPr="00E72448">
              <w:rPr>
                <w:rFonts w:ascii="Calibri" w:eastAsia="Times New Roman" w:hAnsi="Calibri"/>
                <w:sz w:val="18"/>
                <w:szCs w:val="18"/>
                <w:lang w:val="it-IT"/>
              </w:rPr>
              <w:t>Agenti de suprafata anionici (detergenti)</w:t>
            </w:r>
          </w:p>
          <w:p w14:paraId="25E8B79C" w14:textId="77777777" w:rsidR="008126C5" w:rsidRPr="00E72448" w:rsidRDefault="008126C5" w:rsidP="005E0FFB">
            <w:pPr>
              <w:spacing w:after="0" w:line="240" w:lineRule="auto"/>
              <w:jc w:val="center"/>
              <w:rPr>
                <w:rFonts w:ascii="Calibri" w:eastAsia="Times New Roman" w:hAnsi="Calibri"/>
                <w:b/>
                <w:sz w:val="18"/>
                <w:szCs w:val="18"/>
              </w:rPr>
            </w:pPr>
            <w:r w:rsidRPr="00E72448">
              <w:rPr>
                <w:rFonts w:ascii="Calibri" w:eastAsia="Times New Roman" w:hAnsi="Calibri"/>
                <w:b/>
                <w:sz w:val="18"/>
                <w:szCs w:val="18"/>
              </w:rPr>
              <w:t>mg/l</w:t>
            </w:r>
          </w:p>
        </w:tc>
      </w:tr>
      <w:tr w:rsidR="008126C5" w:rsidRPr="00E72448" w14:paraId="3BC2373C" w14:textId="77777777" w:rsidTr="005E0FFB">
        <w:trPr>
          <w:trHeight w:val="273"/>
        </w:trPr>
        <w:tc>
          <w:tcPr>
            <w:tcW w:w="462" w:type="dxa"/>
          </w:tcPr>
          <w:p w14:paraId="702BDD20" w14:textId="77777777" w:rsidR="008126C5" w:rsidRPr="00E72448" w:rsidRDefault="008126C5" w:rsidP="005E0FFB">
            <w:pPr>
              <w:spacing w:after="0" w:line="240" w:lineRule="auto"/>
              <w:jc w:val="center"/>
              <w:rPr>
                <w:rFonts w:ascii="Calibri" w:eastAsia="Times New Roman" w:hAnsi="Calibri"/>
              </w:rPr>
            </w:pPr>
            <w:r w:rsidRPr="00E72448">
              <w:rPr>
                <w:rFonts w:ascii="Calibri" w:eastAsia="Times New Roman" w:hAnsi="Calibri"/>
              </w:rPr>
              <w:t>1</w:t>
            </w:r>
          </w:p>
        </w:tc>
        <w:tc>
          <w:tcPr>
            <w:tcW w:w="712" w:type="dxa"/>
          </w:tcPr>
          <w:p w14:paraId="5DCF126E" w14:textId="77777777" w:rsidR="008126C5" w:rsidRPr="00E72448" w:rsidRDefault="008126C5" w:rsidP="005E0FFB">
            <w:pPr>
              <w:spacing w:after="0" w:line="240" w:lineRule="auto"/>
              <w:jc w:val="center"/>
              <w:rPr>
                <w:rFonts w:ascii="Calibri" w:eastAsia="Times New Roman" w:hAnsi="Calibri"/>
              </w:rPr>
            </w:pPr>
            <w:r w:rsidRPr="00E72448">
              <w:rPr>
                <w:rFonts w:ascii="Calibri" w:eastAsia="Times New Roman" w:hAnsi="Calibri"/>
              </w:rPr>
              <w:t>8.2</w:t>
            </w:r>
          </w:p>
        </w:tc>
        <w:tc>
          <w:tcPr>
            <w:tcW w:w="840" w:type="dxa"/>
          </w:tcPr>
          <w:p w14:paraId="6C02DEE6"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&lt;LOQ</w:t>
            </w:r>
          </w:p>
        </w:tc>
        <w:tc>
          <w:tcPr>
            <w:tcW w:w="841" w:type="dxa"/>
          </w:tcPr>
          <w:p w14:paraId="452E0EB2"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0,033</w:t>
            </w:r>
          </w:p>
        </w:tc>
        <w:tc>
          <w:tcPr>
            <w:tcW w:w="1005" w:type="dxa"/>
          </w:tcPr>
          <w:p w14:paraId="12F6A74C"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&lt;LOQ</w:t>
            </w:r>
          </w:p>
        </w:tc>
        <w:tc>
          <w:tcPr>
            <w:tcW w:w="851" w:type="dxa"/>
          </w:tcPr>
          <w:p w14:paraId="1B7CBFEA"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lang w:val="en-AU"/>
              </w:rPr>
              <w:t>0,014</w:t>
            </w:r>
          </w:p>
        </w:tc>
        <w:tc>
          <w:tcPr>
            <w:tcW w:w="980" w:type="dxa"/>
          </w:tcPr>
          <w:p w14:paraId="1BDB3B6B"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3,2</w:t>
            </w:r>
          </w:p>
        </w:tc>
        <w:tc>
          <w:tcPr>
            <w:tcW w:w="1051" w:type="dxa"/>
          </w:tcPr>
          <w:p w14:paraId="44832F51"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&lt;LOQ</w:t>
            </w:r>
          </w:p>
        </w:tc>
        <w:tc>
          <w:tcPr>
            <w:tcW w:w="1099" w:type="dxa"/>
          </w:tcPr>
          <w:p w14:paraId="77BB2026"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18,1</w:t>
            </w:r>
          </w:p>
        </w:tc>
        <w:tc>
          <w:tcPr>
            <w:tcW w:w="1158" w:type="dxa"/>
          </w:tcPr>
          <w:p w14:paraId="60CD36F5"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&lt;LOQ</w:t>
            </w:r>
          </w:p>
        </w:tc>
      </w:tr>
      <w:tr w:rsidR="008126C5" w:rsidRPr="00E72448" w14:paraId="3D0439EB" w14:textId="77777777" w:rsidTr="005E0FFB">
        <w:trPr>
          <w:trHeight w:val="265"/>
        </w:trPr>
        <w:tc>
          <w:tcPr>
            <w:tcW w:w="462" w:type="dxa"/>
          </w:tcPr>
          <w:p w14:paraId="24CDD7A8" w14:textId="77777777" w:rsidR="008126C5" w:rsidRPr="00E72448" w:rsidRDefault="008126C5" w:rsidP="005E0FFB">
            <w:pPr>
              <w:spacing w:after="0" w:line="240" w:lineRule="auto"/>
              <w:jc w:val="center"/>
              <w:rPr>
                <w:rFonts w:ascii="Calibri" w:eastAsia="Times New Roman" w:hAnsi="Calibri"/>
              </w:rPr>
            </w:pPr>
            <w:r w:rsidRPr="00E72448">
              <w:rPr>
                <w:rFonts w:ascii="Calibri" w:eastAsia="Times New Roman" w:hAnsi="Calibri"/>
              </w:rPr>
              <w:t>2</w:t>
            </w:r>
          </w:p>
        </w:tc>
        <w:tc>
          <w:tcPr>
            <w:tcW w:w="712" w:type="dxa"/>
          </w:tcPr>
          <w:p w14:paraId="07D7203A" w14:textId="77777777" w:rsidR="008126C5" w:rsidRPr="00E72448" w:rsidRDefault="008126C5" w:rsidP="005E0FFB">
            <w:pPr>
              <w:spacing w:after="0" w:line="240" w:lineRule="auto"/>
              <w:jc w:val="center"/>
              <w:rPr>
                <w:rFonts w:ascii="Calibri" w:eastAsia="Times New Roman" w:hAnsi="Calibri"/>
              </w:rPr>
            </w:pPr>
            <w:r w:rsidRPr="00E72448">
              <w:rPr>
                <w:rFonts w:ascii="Calibri" w:eastAsia="Times New Roman" w:hAnsi="Calibri"/>
              </w:rPr>
              <w:t>7.8</w:t>
            </w:r>
          </w:p>
        </w:tc>
        <w:tc>
          <w:tcPr>
            <w:tcW w:w="840" w:type="dxa"/>
          </w:tcPr>
          <w:p w14:paraId="62FBFC87"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177,6</w:t>
            </w:r>
          </w:p>
        </w:tc>
        <w:tc>
          <w:tcPr>
            <w:tcW w:w="841" w:type="dxa"/>
          </w:tcPr>
          <w:p w14:paraId="7813AE5E"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19,95</w:t>
            </w:r>
          </w:p>
        </w:tc>
        <w:tc>
          <w:tcPr>
            <w:tcW w:w="1005" w:type="dxa"/>
          </w:tcPr>
          <w:p w14:paraId="2615387F"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435</w:t>
            </w:r>
          </w:p>
        </w:tc>
        <w:tc>
          <w:tcPr>
            <w:tcW w:w="851" w:type="dxa"/>
          </w:tcPr>
          <w:p w14:paraId="17252CCB"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lang w:val="en-AU"/>
              </w:rPr>
              <w:t>2,97</w:t>
            </w:r>
          </w:p>
        </w:tc>
        <w:tc>
          <w:tcPr>
            <w:tcW w:w="980" w:type="dxa"/>
          </w:tcPr>
          <w:p w14:paraId="08341442"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148</w:t>
            </w:r>
          </w:p>
        </w:tc>
        <w:tc>
          <w:tcPr>
            <w:tcW w:w="1051" w:type="dxa"/>
          </w:tcPr>
          <w:p w14:paraId="50F9D768"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30,7</w:t>
            </w:r>
          </w:p>
        </w:tc>
        <w:tc>
          <w:tcPr>
            <w:tcW w:w="1099" w:type="dxa"/>
          </w:tcPr>
          <w:p w14:paraId="1BC989CC"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73,9</w:t>
            </w:r>
          </w:p>
        </w:tc>
        <w:tc>
          <w:tcPr>
            <w:tcW w:w="1158" w:type="dxa"/>
          </w:tcPr>
          <w:p w14:paraId="1DB828DC"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2,564</w:t>
            </w:r>
          </w:p>
        </w:tc>
      </w:tr>
      <w:tr w:rsidR="008126C5" w:rsidRPr="00E72448" w14:paraId="4DE8D5B2" w14:textId="77777777" w:rsidTr="005E0FFB">
        <w:trPr>
          <w:trHeight w:val="265"/>
        </w:trPr>
        <w:tc>
          <w:tcPr>
            <w:tcW w:w="462" w:type="dxa"/>
          </w:tcPr>
          <w:p w14:paraId="662EB679" w14:textId="77777777" w:rsidR="008126C5" w:rsidRPr="00E72448" w:rsidRDefault="008126C5" w:rsidP="005E0FFB">
            <w:pPr>
              <w:spacing w:after="0" w:line="240" w:lineRule="auto"/>
              <w:jc w:val="center"/>
              <w:rPr>
                <w:rFonts w:ascii="Calibri" w:eastAsia="Times New Roman" w:hAnsi="Calibri"/>
              </w:rPr>
            </w:pPr>
            <w:r w:rsidRPr="00E72448">
              <w:rPr>
                <w:rFonts w:ascii="Calibri" w:eastAsia="Times New Roman" w:hAnsi="Calibri"/>
              </w:rPr>
              <w:t>3</w:t>
            </w:r>
          </w:p>
        </w:tc>
        <w:tc>
          <w:tcPr>
            <w:tcW w:w="712" w:type="dxa"/>
          </w:tcPr>
          <w:p w14:paraId="291B3273" w14:textId="77777777" w:rsidR="008126C5" w:rsidRPr="00E72448" w:rsidRDefault="008126C5" w:rsidP="005E0FFB">
            <w:pPr>
              <w:spacing w:after="0" w:line="240" w:lineRule="auto"/>
              <w:jc w:val="center"/>
              <w:rPr>
                <w:rFonts w:ascii="Calibri" w:eastAsia="Times New Roman" w:hAnsi="Calibri"/>
              </w:rPr>
            </w:pPr>
            <w:r w:rsidRPr="00E72448">
              <w:rPr>
                <w:rFonts w:ascii="Calibri" w:eastAsia="Times New Roman" w:hAnsi="Calibri"/>
              </w:rPr>
              <w:t>7.8</w:t>
            </w:r>
          </w:p>
        </w:tc>
        <w:tc>
          <w:tcPr>
            <w:tcW w:w="840" w:type="dxa"/>
          </w:tcPr>
          <w:p w14:paraId="136B2E3C"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38,84</w:t>
            </w:r>
          </w:p>
        </w:tc>
        <w:tc>
          <w:tcPr>
            <w:tcW w:w="841" w:type="dxa"/>
          </w:tcPr>
          <w:p w14:paraId="11D98014"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9,739</w:t>
            </w:r>
          </w:p>
        </w:tc>
        <w:tc>
          <w:tcPr>
            <w:tcW w:w="1005" w:type="dxa"/>
          </w:tcPr>
          <w:p w14:paraId="60132F4B"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290</w:t>
            </w:r>
          </w:p>
        </w:tc>
        <w:tc>
          <w:tcPr>
            <w:tcW w:w="851" w:type="dxa"/>
          </w:tcPr>
          <w:p w14:paraId="5B0A3AA5"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lang w:val="en-AU"/>
              </w:rPr>
              <w:t>1,67</w:t>
            </w:r>
          </w:p>
        </w:tc>
        <w:tc>
          <w:tcPr>
            <w:tcW w:w="980" w:type="dxa"/>
          </w:tcPr>
          <w:p w14:paraId="3278A316"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169</w:t>
            </w:r>
          </w:p>
        </w:tc>
        <w:tc>
          <w:tcPr>
            <w:tcW w:w="1051" w:type="dxa"/>
          </w:tcPr>
          <w:p w14:paraId="59153FFC"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16,7</w:t>
            </w:r>
          </w:p>
        </w:tc>
        <w:tc>
          <w:tcPr>
            <w:tcW w:w="1099" w:type="dxa"/>
          </w:tcPr>
          <w:p w14:paraId="1F447AD8"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43,0</w:t>
            </w:r>
          </w:p>
        </w:tc>
        <w:tc>
          <w:tcPr>
            <w:tcW w:w="1158" w:type="dxa"/>
          </w:tcPr>
          <w:p w14:paraId="21297136"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0,679</w:t>
            </w:r>
          </w:p>
        </w:tc>
      </w:tr>
      <w:tr w:rsidR="008126C5" w:rsidRPr="00E72448" w14:paraId="4D5162AB" w14:textId="77777777" w:rsidTr="005E0FFB">
        <w:trPr>
          <w:trHeight w:val="265"/>
        </w:trPr>
        <w:tc>
          <w:tcPr>
            <w:tcW w:w="462" w:type="dxa"/>
          </w:tcPr>
          <w:p w14:paraId="785AE687" w14:textId="77777777" w:rsidR="008126C5" w:rsidRPr="00E72448" w:rsidRDefault="008126C5" w:rsidP="005E0FFB">
            <w:pPr>
              <w:spacing w:after="0" w:line="240" w:lineRule="auto"/>
              <w:jc w:val="center"/>
              <w:rPr>
                <w:rFonts w:ascii="Calibri" w:eastAsia="Times New Roman" w:hAnsi="Calibri"/>
              </w:rPr>
            </w:pPr>
            <w:r w:rsidRPr="00E72448">
              <w:rPr>
                <w:rFonts w:ascii="Calibri" w:eastAsia="Times New Roman" w:hAnsi="Calibri"/>
              </w:rPr>
              <w:t>4</w:t>
            </w:r>
          </w:p>
        </w:tc>
        <w:tc>
          <w:tcPr>
            <w:tcW w:w="712" w:type="dxa"/>
          </w:tcPr>
          <w:p w14:paraId="524AB337"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7,7</w:t>
            </w:r>
          </w:p>
        </w:tc>
        <w:tc>
          <w:tcPr>
            <w:tcW w:w="840" w:type="dxa"/>
          </w:tcPr>
          <w:p w14:paraId="16CA2DA8"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31,45</w:t>
            </w:r>
          </w:p>
        </w:tc>
        <w:tc>
          <w:tcPr>
            <w:tcW w:w="841" w:type="dxa"/>
          </w:tcPr>
          <w:p w14:paraId="6546565A"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5,548</w:t>
            </w:r>
          </w:p>
        </w:tc>
        <w:tc>
          <w:tcPr>
            <w:tcW w:w="1005" w:type="dxa"/>
          </w:tcPr>
          <w:p w14:paraId="566BB01B"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284</w:t>
            </w:r>
          </w:p>
        </w:tc>
        <w:tc>
          <w:tcPr>
            <w:tcW w:w="851" w:type="dxa"/>
          </w:tcPr>
          <w:p w14:paraId="7C4FEDD9"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lang w:val="en-AU"/>
              </w:rPr>
              <w:t>1,13</w:t>
            </w:r>
          </w:p>
        </w:tc>
        <w:tc>
          <w:tcPr>
            <w:tcW w:w="980" w:type="dxa"/>
          </w:tcPr>
          <w:p w14:paraId="21648935"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121</w:t>
            </w:r>
          </w:p>
        </w:tc>
        <w:tc>
          <w:tcPr>
            <w:tcW w:w="1051" w:type="dxa"/>
          </w:tcPr>
          <w:p w14:paraId="28F074F8"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&lt;LOQ</w:t>
            </w:r>
          </w:p>
        </w:tc>
        <w:tc>
          <w:tcPr>
            <w:tcW w:w="1099" w:type="dxa"/>
          </w:tcPr>
          <w:p w14:paraId="2BC42935"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48,3</w:t>
            </w:r>
          </w:p>
        </w:tc>
        <w:tc>
          <w:tcPr>
            <w:tcW w:w="1158" w:type="dxa"/>
          </w:tcPr>
          <w:p w14:paraId="1F6DAB4D" w14:textId="77777777" w:rsidR="008126C5" w:rsidRPr="00E72448" w:rsidRDefault="008126C5" w:rsidP="005E0FFB">
            <w:pPr>
              <w:spacing w:after="0" w:line="240" w:lineRule="auto"/>
              <w:jc w:val="center"/>
              <w:rPr>
                <w:rFonts w:ascii="Calibri" w:eastAsia="Times New Roman" w:hAnsi="Calibri"/>
              </w:rPr>
            </w:pPr>
            <w:r w:rsidRPr="00E72448">
              <w:rPr>
                <w:rFonts w:ascii="Arial" w:eastAsia="Times New Roman" w:hAnsi="Arial" w:cs="Arial"/>
              </w:rPr>
              <w:t>0,453</w:t>
            </w:r>
          </w:p>
        </w:tc>
      </w:tr>
    </w:tbl>
    <w:p w14:paraId="46430EB7" w14:textId="77777777" w:rsidR="008126C5" w:rsidRDefault="008126C5" w:rsidP="008126C5">
      <w:pPr>
        <w:spacing w:after="0" w:line="240" w:lineRule="auto"/>
        <w:ind w:left="720"/>
        <w:rPr>
          <w:noProof/>
        </w:rPr>
      </w:pPr>
    </w:p>
    <w:p w14:paraId="15985F18" w14:textId="77777777" w:rsidR="008126C5" w:rsidRPr="00E72448" w:rsidRDefault="008126C5" w:rsidP="008126C5">
      <w:pPr>
        <w:spacing w:after="0" w:line="240" w:lineRule="auto"/>
        <w:ind w:left="720"/>
        <w:rPr>
          <w:noProof/>
        </w:rPr>
      </w:pPr>
      <w:r w:rsidRPr="00E72448">
        <w:rPr>
          <w:noProof/>
        </w:rPr>
        <w:t>În urma interpretării rezultatelor analizelor fizico-chimice ale indicatorilor de calitate pentru probele de apă prelevate din r</w:t>
      </w:r>
      <w:r>
        <w:rPr>
          <w:noProof/>
        </w:rPr>
        <w:t>â</w:t>
      </w:r>
      <w:r w:rsidRPr="00E72448">
        <w:rPr>
          <w:noProof/>
        </w:rPr>
        <w:t>u</w:t>
      </w:r>
      <w:r>
        <w:rPr>
          <w:noProof/>
        </w:rPr>
        <w:t>l</w:t>
      </w:r>
      <w:r w:rsidRPr="00E72448">
        <w:rPr>
          <w:noProof/>
        </w:rPr>
        <w:t xml:space="preserve"> Bistri</w:t>
      </w:r>
      <w:r>
        <w:rPr>
          <w:noProof/>
        </w:rPr>
        <w:t>ț</w:t>
      </w:r>
      <w:r w:rsidRPr="00E72448">
        <w:rPr>
          <w:noProof/>
        </w:rPr>
        <w:t xml:space="preserve">a </w:t>
      </w:r>
      <w:r>
        <w:rPr>
          <w:noProof/>
        </w:rPr>
        <w:t>î</w:t>
      </w:r>
      <w:r w:rsidRPr="00E72448">
        <w:rPr>
          <w:noProof/>
        </w:rPr>
        <w:t>n trei sec</w:t>
      </w:r>
      <w:r>
        <w:rPr>
          <w:noProof/>
        </w:rPr>
        <w:t>ț</w:t>
      </w:r>
      <w:r w:rsidRPr="00E72448">
        <w:rPr>
          <w:noProof/>
        </w:rPr>
        <w:t xml:space="preserve">iuni </w:t>
      </w:r>
      <w:r>
        <w:rPr>
          <w:noProof/>
        </w:rPr>
        <w:t>ș</w:t>
      </w:r>
      <w:r w:rsidRPr="00E72448">
        <w:rPr>
          <w:noProof/>
        </w:rPr>
        <w:t>i evacuare (r. Bistri</w:t>
      </w:r>
      <w:r>
        <w:rPr>
          <w:noProof/>
        </w:rPr>
        <w:t>ț</w:t>
      </w:r>
      <w:r w:rsidRPr="00E72448">
        <w:rPr>
          <w:noProof/>
        </w:rPr>
        <w:t>a</w:t>
      </w:r>
      <w:r w:rsidRPr="00E72448">
        <w:rPr>
          <w:noProof/>
          <w:lang w:val="it-IT"/>
        </w:rPr>
        <w:t xml:space="preserve">: </w:t>
      </w:r>
      <w:r w:rsidRPr="00E72448">
        <w:rPr>
          <w:noProof/>
        </w:rPr>
        <w:t xml:space="preserve">aval baraj lac Agrement, aval 300 m de evacuarea CRAB si coada Lac- zona Centura Ocolitoare Bacau) si  ape uzate din SEAU CRAB Bacau, s-a constatat o modificare a clasei de calitate a raului Bistrita la indicatorii: amoniu (clasa a IV-a), CCOCr (clasa a III-a) și detergenți (clasa a IV-a), acest fenomen datorându-se evacuării apelor uzate neepurate de către CRAB SA ca urmare a lucrărilor de întreținere, înlocuire, refacere și curățare a echipamentelor din stația de epurare a municipiului Bacău. </w:t>
      </w:r>
    </w:p>
    <w:p w14:paraId="1184E2AE" w14:textId="77777777" w:rsidR="008126C5" w:rsidRPr="00E72448" w:rsidRDefault="008126C5" w:rsidP="008126C5">
      <w:pPr>
        <w:spacing w:after="0" w:line="240" w:lineRule="auto"/>
        <w:ind w:left="720"/>
        <w:rPr>
          <w:noProof/>
        </w:rPr>
      </w:pPr>
      <w:r w:rsidRPr="00E72448">
        <w:rPr>
          <w:noProof/>
        </w:rPr>
        <w:t>Menționăm că în perioada 16.10.2023-15.11.2023, SC Compania Regională de Apă Bacău SA are derogare de la limitele maxime admise ale indicatorilor fizico-chimici de calitate, conform Avizului ABAS nr. 18809 din 15.09.2023. Indicatorii fizico-chimici analizati la apa uzata evacuata in emisar de catre CRAB SA Bacau au valori care se incadreaza in limitele stabilite prin avizul nr. 18809 din 15.09.2023.</w:t>
      </w:r>
    </w:p>
    <w:p w14:paraId="48310C49" w14:textId="77777777" w:rsidR="008126C5" w:rsidRDefault="008126C5" w:rsidP="008126C5">
      <w:pPr>
        <w:spacing w:after="0" w:line="240" w:lineRule="auto"/>
        <w:rPr>
          <w:noProof/>
        </w:rPr>
      </w:pPr>
    </w:p>
    <w:p w14:paraId="42B52805" w14:textId="77777777" w:rsidR="008126C5" w:rsidRDefault="008126C5" w:rsidP="008126C5">
      <w:pPr>
        <w:spacing w:after="0" w:line="240" w:lineRule="auto"/>
        <w:rPr>
          <w:noProof/>
        </w:rPr>
      </w:pPr>
    </w:p>
    <w:p w14:paraId="1CB13A84" w14:textId="77777777" w:rsidR="008126C5" w:rsidRPr="00757678" w:rsidRDefault="008126C5" w:rsidP="008126C5">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561EA64E" w14:textId="77777777" w:rsidR="008126C5" w:rsidRPr="00A07388" w:rsidRDefault="008126C5" w:rsidP="008126C5">
      <w:pPr>
        <w:spacing w:after="0" w:line="240" w:lineRule="auto"/>
        <w:ind w:left="720"/>
        <w:rPr>
          <w:noProof/>
        </w:rPr>
      </w:pPr>
      <w:r w:rsidRPr="00A07388">
        <w:rPr>
          <w:b/>
          <w:noProof/>
        </w:rPr>
        <w:t>ABA Dobrogea Litoral Constanța</w:t>
      </w:r>
      <w:r>
        <w:rPr>
          <w:noProof/>
        </w:rPr>
        <w:t xml:space="preserve"> informează că în </w:t>
      </w:r>
      <w:r w:rsidRPr="00A07388">
        <w:rPr>
          <w:noProof/>
        </w:rPr>
        <w:t>data de 25.10.2023</w:t>
      </w:r>
      <w:r>
        <w:rPr>
          <w:noProof/>
        </w:rPr>
        <w:t>, î</w:t>
      </w:r>
      <w:r w:rsidRPr="00A07388">
        <w:rPr>
          <w:noProof/>
        </w:rPr>
        <w:t xml:space="preserve">n jurul orei 17.15, </w:t>
      </w:r>
      <w:r>
        <w:rPr>
          <w:noProof/>
        </w:rPr>
        <w:t>în</w:t>
      </w:r>
      <w:r w:rsidRPr="00A07388">
        <w:rPr>
          <w:noProof/>
        </w:rPr>
        <w:t xml:space="preserve"> timpul opera</w:t>
      </w:r>
      <w:r>
        <w:rPr>
          <w:noProof/>
        </w:rPr>
        <w:t>ț</w:t>
      </w:r>
      <w:r w:rsidRPr="00A07388">
        <w:rPr>
          <w:noProof/>
        </w:rPr>
        <w:t>iunilor de desc</w:t>
      </w:r>
      <w:r>
        <w:rPr>
          <w:noProof/>
        </w:rPr>
        <w:t>ă</w:t>
      </w:r>
      <w:r w:rsidRPr="00A07388">
        <w:rPr>
          <w:noProof/>
        </w:rPr>
        <w:t>rcare la cheul danei 24 Port Constan</w:t>
      </w:r>
      <w:r>
        <w:rPr>
          <w:noProof/>
        </w:rPr>
        <w:t>ț</w:t>
      </w:r>
      <w:r w:rsidRPr="00A07388">
        <w:rPr>
          <w:noProof/>
        </w:rPr>
        <w:t>a, s-a produs o deversare accidental</w:t>
      </w:r>
      <w:r>
        <w:rPr>
          <w:noProof/>
        </w:rPr>
        <w:t>ă</w:t>
      </w:r>
      <w:r w:rsidRPr="00A07388">
        <w:rPr>
          <w:noProof/>
        </w:rPr>
        <w:t xml:space="preserve"> </w:t>
      </w:r>
      <w:r>
        <w:rPr>
          <w:noProof/>
        </w:rPr>
        <w:t xml:space="preserve">cu o </w:t>
      </w:r>
      <w:r w:rsidRPr="00A07388">
        <w:rPr>
          <w:noProof/>
        </w:rPr>
        <w:t>cantitate de c</w:t>
      </w:r>
      <w:r>
        <w:rPr>
          <w:noProof/>
        </w:rPr>
        <w:t>ca.</w:t>
      </w:r>
      <w:r w:rsidRPr="00A07388">
        <w:rPr>
          <w:noProof/>
        </w:rPr>
        <w:t xml:space="preserve"> 250 de litri de ulei vegetal din marf</w:t>
      </w:r>
      <w:r>
        <w:rPr>
          <w:noProof/>
        </w:rPr>
        <w:t>ă î</w:t>
      </w:r>
      <w:r w:rsidRPr="00A07388">
        <w:rPr>
          <w:noProof/>
        </w:rPr>
        <w:t>n intertioru</w:t>
      </w:r>
      <w:r>
        <w:rPr>
          <w:noProof/>
        </w:rPr>
        <w:t>l barajului antipoluare montat în</w:t>
      </w:r>
      <w:r w:rsidRPr="00A07388">
        <w:rPr>
          <w:noProof/>
        </w:rPr>
        <w:t xml:space="preserve"> jurul navei</w:t>
      </w:r>
      <w:r>
        <w:rPr>
          <w:noProof/>
        </w:rPr>
        <w:t xml:space="preserve"> (</w:t>
      </w:r>
      <w:r w:rsidRPr="00A07388">
        <w:rPr>
          <w:noProof/>
        </w:rPr>
        <w:t>ini</w:t>
      </w:r>
      <w:r>
        <w:rPr>
          <w:noProof/>
        </w:rPr>
        <w:t>ț</w:t>
      </w:r>
      <w:r w:rsidRPr="00A07388">
        <w:rPr>
          <w:noProof/>
        </w:rPr>
        <w:t xml:space="preserve">ial pe </w:t>
      </w:r>
      <w:r>
        <w:rPr>
          <w:noProof/>
        </w:rPr>
        <w:t>coverta navei și ulterior în apă)</w:t>
      </w:r>
      <w:r w:rsidRPr="00A07388">
        <w:rPr>
          <w:noProof/>
        </w:rPr>
        <w:t>.</w:t>
      </w:r>
    </w:p>
    <w:p w14:paraId="70DEDBB2" w14:textId="77777777" w:rsidR="008126C5" w:rsidRPr="00A07388" w:rsidRDefault="008126C5" w:rsidP="008126C5">
      <w:pPr>
        <w:spacing w:after="0" w:line="240" w:lineRule="auto"/>
        <w:ind w:left="720"/>
        <w:rPr>
          <w:noProof/>
        </w:rPr>
      </w:pPr>
      <w:r w:rsidRPr="00A07388">
        <w:rPr>
          <w:noProof/>
        </w:rPr>
        <w:t>Cauza producerii incidentului de poluare o constituie manipularea eronat</w:t>
      </w:r>
      <w:r>
        <w:rPr>
          <w:noProof/>
        </w:rPr>
        <w:t>ă</w:t>
      </w:r>
      <w:r w:rsidRPr="00A07388">
        <w:rPr>
          <w:noProof/>
        </w:rPr>
        <w:t xml:space="preserve"> a tancului 1 de marf</w:t>
      </w:r>
      <w:r>
        <w:rPr>
          <w:noProof/>
        </w:rPr>
        <w:t>ă</w:t>
      </w:r>
      <w:r w:rsidRPr="00A07388">
        <w:rPr>
          <w:noProof/>
        </w:rPr>
        <w:t>, deversarea de ulei surveninand in urma umplerii excesive.</w:t>
      </w:r>
    </w:p>
    <w:p w14:paraId="309F21F1" w14:textId="77777777" w:rsidR="008126C5" w:rsidRPr="00A07388" w:rsidRDefault="008126C5" w:rsidP="008126C5">
      <w:pPr>
        <w:spacing w:after="0" w:line="240" w:lineRule="auto"/>
        <w:ind w:left="720"/>
        <w:rPr>
          <w:noProof/>
        </w:rPr>
      </w:pPr>
      <w:r w:rsidRPr="00A07388">
        <w:rPr>
          <w:noProof/>
        </w:rPr>
        <w:t>Dupa producerea erorii, o cantitate de 250-300 litri de ulei vegetal a ie</w:t>
      </w:r>
      <w:r>
        <w:rPr>
          <w:noProof/>
        </w:rPr>
        <w:t>ș</w:t>
      </w:r>
      <w:r w:rsidRPr="00A07388">
        <w:rPr>
          <w:noProof/>
        </w:rPr>
        <w:t>it din tancul 1 de marf</w:t>
      </w:r>
      <w:r>
        <w:rPr>
          <w:noProof/>
        </w:rPr>
        <w:t>ă</w:t>
      </w:r>
      <w:r w:rsidRPr="00A07388">
        <w:rPr>
          <w:noProof/>
        </w:rPr>
        <w:t>, r</w:t>
      </w:r>
      <w:r>
        <w:rPr>
          <w:noProof/>
        </w:rPr>
        <w:t>ă</w:t>
      </w:r>
      <w:r w:rsidRPr="00A07388">
        <w:rPr>
          <w:noProof/>
        </w:rPr>
        <w:t>sp</w:t>
      </w:r>
      <w:r>
        <w:rPr>
          <w:noProof/>
        </w:rPr>
        <w:t>â</w:t>
      </w:r>
      <w:r w:rsidRPr="00A07388">
        <w:rPr>
          <w:noProof/>
        </w:rPr>
        <w:t xml:space="preserve">ndindu-se pe puntea navei </w:t>
      </w:r>
      <w:r>
        <w:rPr>
          <w:noProof/>
        </w:rPr>
        <w:t>ș</w:t>
      </w:r>
      <w:r w:rsidRPr="00A07388">
        <w:rPr>
          <w:noProof/>
        </w:rPr>
        <w:t>i pe luciul apei.</w:t>
      </w:r>
    </w:p>
    <w:p w14:paraId="63E5F224" w14:textId="77777777" w:rsidR="008126C5" w:rsidRPr="00A07388" w:rsidRDefault="008126C5" w:rsidP="008126C5">
      <w:pPr>
        <w:spacing w:after="0" w:line="240" w:lineRule="auto"/>
        <w:ind w:left="720"/>
        <w:rPr>
          <w:noProof/>
        </w:rPr>
      </w:pPr>
      <w:r w:rsidRPr="00A07388">
        <w:rPr>
          <w:noProof/>
        </w:rPr>
        <w:t>Echipajul navei a ac</w:t>
      </w:r>
      <w:r>
        <w:rPr>
          <w:noProof/>
        </w:rPr>
        <w:t>ț</w:t>
      </w:r>
      <w:r w:rsidRPr="00A07388">
        <w:rPr>
          <w:noProof/>
        </w:rPr>
        <w:t xml:space="preserve">ionat imediat cu mijloace proprii, folosind material absorbant </w:t>
      </w:r>
      <w:r>
        <w:rPr>
          <w:noProof/>
        </w:rPr>
        <w:t>ș</w:t>
      </w:r>
      <w:r w:rsidRPr="00A07388">
        <w:rPr>
          <w:noProof/>
        </w:rPr>
        <w:t>i dispersant pentru neutralizarea reziduurilor.</w:t>
      </w:r>
    </w:p>
    <w:p w14:paraId="078735E2" w14:textId="77777777" w:rsidR="008126C5" w:rsidRPr="00A07388" w:rsidRDefault="008126C5" w:rsidP="008126C5">
      <w:pPr>
        <w:spacing w:after="0" w:line="240" w:lineRule="auto"/>
        <w:ind w:left="720"/>
        <w:rPr>
          <w:noProof/>
        </w:rPr>
      </w:pPr>
      <w:r w:rsidRPr="00A07388">
        <w:rPr>
          <w:noProof/>
        </w:rPr>
        <w:t>A fost efectuat</w:t>
      </w:r>
      <w:r>
        <w:rPr>
          <w:noProof/>
        </w:rPr>
        <w:t>ă</w:t>
      </w:r>
      <w:r w:rsidRPr="00A07388">
        <w:rPr>
          <w:noProof/>
        </w:rPr>
        <w:t xml:space="preserve"> o cercetare la fa</w:t>
      </w:r>
      <w:r>
        <w:rPr>
          <w:noProof/>
        </w:rPr>
        <w:t>ț</w:t>
      </w:r>
      <w:r w:rsidRPr="00A07388">
        <w:rPr>
          <w:noProof/>
        </w:rPr>
        <w:t>a locului. Au fost luate declara</w:t>
      </w:r>
      <w:r>
        <w:rPr>
          <w:noProof/>
        </w:rPr>
        <w:t>ț</w:t>
      </w:r>
      <w:r w:rsidRPr="00A07388">
        <w:rPr>
          <w:noProof/>
        </w:rPr>
        <w:t>ii de la c</w:t>
      </w:r>
      <w:r>
        <w:rPr>
          <w:noProof/>
        </w:rPr>
        <w:t>ă</w:t>
      </w:r>
      <w:r w:rsidRPr="00A07388">
        <w:rPr>
          <w:noProof/>
        </w:rPr>
        <w:t xml:space="preserve">pitanul </w:t>
      </w:r>
      <w:r>
        <w:rPr>
          <w:noProof/>
        </w:rPr>
        <w:t>ș</w:t>
      </w:r>
      <w:r w:rsidRPr="00A07388">
        <w:rPr>
          <w:noProof/>
        </w:rPr>
        <w:t xml:space="preserve">i </w:t>
      </w:r>
      <w:r>
        <w:rPr>
          <w:noProof/>
        </w:rPr>
        <w:t>ș</w:t>
      </w:r>
      <w:r w:rsidRPr="00A07388">
        <w:rPr>
          <w:noProof/>
        </w:rPr>
        <w:t xml:space="preserve">eful mecanic al navei, copii de pe </w:t>
      </w:r>
      <w:r>
        <w:rPr>
          <w:noProof/>
        </w:rPr>
        <w:t>î</w:t>
      </w:r>
      <w:r w:rsidRPr="00A07388">
        <w:rPr>
          <w:noProof/>
        </w:rPr>
        <w:t xml:space="preserve">nscrisuri, etc. Au fost facute fotografii </w:t>
      </w:r>
      <w:r>
        <w:rPr>
          <w:noProof/>
        </w:rPr>
        <w:t>ș</w:t>
      </w:r>
      <w:r w:rsidRPr="00A07388">
        <w:rPr>
          <w:noProof/>
        </w:rPr>
        <w:t>i un film scurt la fa</w:t>
      </w:r>
      <w:r>
        <w:rPr>
          <w:noProof/>
        </w:rPr>
        <w:t>ț</w:t>
      </w:r>
      <w:r w:rsidRPr="00A07388">
        <w:rPr>
          <w:noProof/>
        </w:rPr>
        <w:t>a locului.</w:t>
      </w:r>
    </w:p>
    <w:p w14:paraId="692ADAAB" w14:textId="77777777" w:rsidR="008126C5" w:rsidRDefault="008126C5" w:rsidP="008126C5">
      <w:pPr>
        <w:spacing w:after="0" w:line="240" w:lineRule="auto"/>
        <w:ind w:left="720"/>
        <w:rPr>
          <w:noProof/>
        </w:rPr>
      </w:pPr>
      <w:r>
        <w:rPr>
          <w:noProof/>
        </w:rPr>
        <w:t>Î</w:t>
      </w:r>
      <w:r w:rsidRPr="00A07388">
        <w:rPr>
          <w:noProof/>
        </w:rPr>
        <w:t>n jurul navei, in interiorul barajului antipoluare s-a constatat prezenta uleiului vegetal, scurs pe bordajul navei.</w:t>
      </w:r>
    </w:p>
    <w:p w14:paraId="2C13BB79" w14:textId="77777777" w:rsidR="008126C5" w:rsidRDefault="008126C5" w:rsidP="008126C5">
      <w:pPr>
        <w:spacing w:after="0" w:line="240" w:lineRule="auto"/>
        <w:ind w:left="720"/>
        <w:rPr>
          <w:noProof/>
        </w:rPr>
      </w:pPr>
      <w:r w:rsidRPr="00A07388">
        <w:rPr>
          <w:noProof/>
        </w:rPr>
        <w:t xml:space="preserve">Conform istoricului, la orele 20.00 s-au </w:t>
      </w:r>
      <w:r>
        <w:rPr>
          <w:noProof/>
        </w:rPr>
        <w:t>î</w:t>
      </w:r>
      <w:r w:rsidRPr="00A07388">
        <w:rPr>
          <w:noProof/>
        </w:rPr>
        <w:t>ncheiat opera</w:t>
      </w:r>
      <w:r>
        <w:rPr>
          <w:noProof/>
        </w:rPr>
        <w:t>ț</w:t>
      </w:r>
      <w:r w:rsidRPr="00A07388">
        <w:rPr>
          <w:noProof/>
        </w:rPr>
        <w:t>iunile de depoluare a zonei.</w:t>
      </w:r>
    </w:p>
    <w:p w14:paraId="0C0BD346" w14:textId="77777777" w:rsidR="008126C5" w:rsidRDefault="008126C5" w:rsidP="008126C5">
      <w:pPr>
        <w:spacing w:after="0" w:line="240" w:lineRule="auto"/>
        <w:ind w:left="720"/>
        <w:rPr>
          <w:noProof/>
        </w:rPr>
      </w:pPr>
      <w:r w:rsidRPr="00A07388">
        <w:rPr>
          <w:noProof/>
        </w:rPr>
        <w:t>Comandantul S/M Eli Tank 30, a fost sanc</w:t>
      </w:r>
      <w:r>
        <w:rPr>
          <w:noProof/>
        </w:rPr>
        <w:t>ț</w:t>
      </w:r>
      <w:r w:rsidRPr="00A07388">
        <w:rPr>
          <w:noProof/>
        </w:rPr>
        <w:t>ionat contraven</w:t>
      </w:r>
      <w:r>
        <w:rPr>
          <w:noProof/>
        </w:rPr>
        <w:t>ț</w:t>
      </w:r>
      <w:r w:rsidRPr="00A07388">
        <w:rPr>
          <w:noProof/>
        </w:rPr>
        <w:t>ional cu suma de 20.000 lei pentru poluarea apelor na</w:t>
      </w:r>
      <w:r>
        <w:rPr>
          <w:noProof/>
        </w:rPr>
        <w:t>ț</w:t>
      </w:r>
      <w:r w:rsidRPr="00A07388">
        <w:rPr>
          <w:noProof/>
        </w:rPr>
        <w:t xml:space="preserve">ionale navigabile, </w:t>
      </w:r>
      <w:r>
        <w:rPr>
          <w:noProof/>
        </w:rPr>
        <w:t>î</w:t>
      </w:r>
      <w:r w:rsidRPr="00A07388">
        <w:rPr>
          <w:noProof/>
        </w:rPr>
        <w:t>n conformitate cu prevederile art. 4 lit. a din HG 876 din 2007.</w:t>
      </w:r>
    </w:p>
    <w:p w14:paraId="3CB4CE64" w14:textId="77777777" w:rsidR="008126C5" w:rsidRPr="00757678" w:rsidRDefault="008126C5" w:rsidP="008126C5">
      <w:pPr>
        <w:spacing w:after="0" w:line="240" w:lineRule="auto"/>
        <w:ind w:left="720"/>
        <w:rPr>
          <w:noProof/>
          <w:sz w:val="28"/>
          <w:szCs w:val="28"/>
        </w:rPr>
      </w:pPr>
    </w:p>
    <w:p w14:paraId="7F5EA160" w14:textId="77777777" w:rsidR="008126C5" w:rsidRPr="00A121FB" w:rsidRDefault="008126C5" w:rsidP="008126C5">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6C61D1EA" w14:textId="77777777" w:rsidR="008126C5" w:rsidRPr="00A121FB" w:rsidRDefault="008126C5" w:rsidP="008126C5">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7FBEE987" w14:textId="77777777" w:rsidR="008126C5" w:rsidRPr="009E0785" w:rsidRDefault="008126C5" w:rsidP="008126C5">
      <w:pPr>
        <w:spacing w:after="0" w:line="240" w:lineRule="auto"/>
        <w:ind w:left="720"/>
        <w:rPr>
          <w:b/>
        </w:rPr>
      </w:pPr>
      <w:r w:rsidRPr="009E0785">
        <w:rPr>
          <w:b/>
          <w:bCs/>
        </w:rPr>
        <w:t>Agenţia Na</w:t>
      </w:r>
      <w:r w:rsidRPr="009E0785">
        <w:rPr>
          <w:b/>
        </w:rPr>
        <w:t>ţional</w:t>
      </w:r>
      <w:r w:rsidRPr="009E0785">
        <w:rPr>
          <w:b/>
          <w:bCs/>
        </w:rPr>
        <w:t>ă</w:t>
      </w:r>
      <w:r w:rsidRPr="009E0785">
        <w:rPr>
          <w:b/>
        </w:rPr>
        <w:t xml:space="preserve"> </w:t>
      </w:r>
      <w:r w:rsidRPr="009E0785">
        <w:rPr>
          <w:b/>
          <w:bCs/>
        </w:rPr>
        <w:t>pentru Protec</w:t>
      </w:r>
      <w:r w:rsidRPr="009E0785">
        <w:rPr>
          <w:b/>
        </w:rPr>
        <w:t xml:space="preserve">ţia </w:t>
      </w:r>
      <w:r w:rsidRPr="009E0785">
        <w:rPr>
          <w:b/>
          <w:bCs/>
        </w:rPr>
        <w:t xml:space="preserve">Mediului </w:t>
      </w:r>
      <w:r w:rsidRPr="009E0785">
        <w:rPr>
          <w:bCs/>
        </w:rPr>
        <w:t xml:space="preserve">informează că din rezultatele analizelor efectuate în cadrul Reţelei Naţionale de Monitorizare, </w:t>
      </w:r>
      <w:r w:rsidRPr="009E0785">
        <w:rPr>
          <w:b/>
          <w:bCs/>
        </w:rPr>
        <w:t>s</w:t>
      </w:r>
      <w:r w:rsidRPr="009E0785">
        <w:rPr>
          <w:b/>
        </w:rPr>
        <w:t>-au înregistrat depăşiri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în data de 24</w:t>
      </w:r>
      <w:r w:rsidRPr="00221009">
        <w:t>.</w:t>
      </w:r>
      <w:r>
        <w:t>10</w:t>
      </w:r>
      <w:r w:rsidRPr="00A15CE4">
        <w:t>.202</w:t>
      </w:r>
      <w:r>
        <w:t xml:space="preserve">3, </w:t>
      </w:r>
      <w:r w:rsidRPr="009E0785">
        <w:rPr>
          <w:b/>
        </w:rPr>
        <w:t>la staţi</w:t>
      </w:r>
      <w:r>
        <w:rPr>
          <w:b/>
        </w:rPr>
        <w:t xml:space="preserve">ile </w:t>
      </w:r>
      <w:r w:rsidRPr="009E0785">
        <w:rPr>
          <w:b/>
        </w:rPr>
        <w:t>cu indicativ</w:t>
      </w:r>
      <w:r>
        <w:rPr>
          <w:b/>
        </w:rPr>
        <w:t>ele</w:t>
      </w:r>
      <w:r w:rsidRPr="009E0785">
        <w:rPr>
          <w:b/>
        </w:rPr>
        <w:t xml:space="preserve"> </w:t>
      </w:r>
      <w:r>
        <w:rPr>
          <w:b/>
        </w:rPr>
        <w:t>B-3,B-15,B-17,B-25,B-16,B-5,B-2,B-27</w:t>
      </w:r>
      <w:r w:rsidRPr="009E0785">
        <w:rPr>
          <w:b/>
        </w:rPr>
        <w:t xml:space="preserve">. </w:t>
      </w:r>
    </w:p>
    <w:p w14:paraId="5A11D30E" w14:textId="77777777" w:rsidR="008126C5" w:rsidRPr="00B04398" w:rsidRDefault="008126C5" w:rsidP="008126C5">
      <w:pPr>
        <w:spacing w:after="0" w:line="240" w:lineRule="auto"/>
        <w:ind w:left="720"/>
        <w:rPr>
          <w:sz w:val="16"/>
          <w:szCs w:val="16"/>
        </w:rPr>
      </w:pPr>
    </w:p>
    <w:p w14:paraId="78DAB964" w14:textId="77777777" w:rsidR="008126C5" w:rsidRDefault="008126C5" w:rsidP="008126C5">
      <w:pPr>
        <w:spacing w:after="0" w:line="240" w:lineRule="auto"/>
        <w:ind w:left="720"/>
        <w:rPr>
          <w:lang w:val="it-IT"/>
        </w:rPr>
      </w:pPr>
      <w:r w:rsidRPr="00DD7A96">
        <w:rPr>
          <w:b/>
        </w:rPr>
        <w:t>GNM, Comisariatul Județean Harghita</w:t>
      </w:r>
      <w:r>
        <w:t xml:space="preserve"> informează telefonic de izbucnirea î</w:t>
      </w:r>
      <w:r w:rsidRPr="00EF4190">
        <w:t>n data de 25.10.2023, a unui incendiu</w:t>
      </w:r>
      <w:r>
        <w:t xml:space="preserve"> cu degajări mari de fum</w:t>
      </w:r>
      <w:r w:rsidRPr="00EF4190">
        <w:t xml:space="preserve"> la o </w:t>
      </w:r>
      <w:r w:rsidRPr="008B50C4">
        <w:t xml:space="preserve">societate cu activitate de fabricare articole plastic din Municipiul Gheorgheni, </w:t>
      </w:r>
      <w:r w:rsidRPr="00EF4190">
        <w:t>jud</w:t>
      </w:r>
      <w:r>
        <w:t>ețul Harghita,</w:t>
      </w:r>
      <w:r w:rsidRPr="008B50C4">
        <w:t xml:space="preserve"> aparținând Naviplast S</w:t>
      </w:r>
      <w:r>
        <w:t>.</w:t>
      </w:r>
      <w:r w:rsidRPr="008B50C4">
        <w:t>R</w:t>
      </w:r>
      <w:r>
        <w:t>.</w:t>
      </w:r>
      <w:r w:rsidRPr="008B50C4">
        <w:t>L.,pe o suprafață de cca 300 mp</w:t>
      </w:r>
      <w:r w:rsidRPr="00EF4190">
        <w:t xml:space="preserve">. </w:t>
      </w:r>
      <w:r w:rsidRPr="00DD7A96">
        <w:rPr>
          <w:lang w:val="it-IT"/>
        </w:rPr>
        <w:t xml:space="preserve">Din primele informații obținute, în clădire se depozitau și alte materiale inflamabile. </w:t>
      </w:r>
    </w:p>
    <w:p w14:paraId="7A073473" w14:textId="77777777" w:rsidR="008126C5" w:rsidRDefault="008126C5" w:rsidP="008126C5">
      <w:pPr>
        <w:spacing w:after="0" w:line="240" w:lineRule="auto"/>
        <w:ind w:left="720"/>
        <w:rPr>
          <w:lang w:val="it-IT"/>
        </w:rPr>
      </w:pPr>
      <w:r w:rsidRPr="00DD7A96">
        <w:rPr>
          <w:lang w:val="it-IT"/>
        </w:rPr>
        <w:t>ISU H</w:t>
      </w:r>
      <w:r>
        <w:rPr>
          <w:lang w:val="it-IT"/>
        </w:rPr>
        <w:t>arghita</w:t>
      </w:r>
      <w:r w:rsidRPr="00DD7A96">
        <w:rPr>
          <w:lang w:val="it-IT"/>
        </w:rPr>
        <w:t xml:space="preserve"> a emis mesaj RO-ALERT. Incendiul a fost localizat și lichidat. </w:t>
      </w:r>
    </w:p>
    <w:p w14:paraId="19648378" w14:textId="77777777" w:rsidR="008126C5" w:rsidRPr="00DD7A96" w:rsidRDefault="008126C5" w:rsidP="008126C5">
      <w:pPr>
        <w:spacing w:after="0" w:line="240" w:lineRule="auto"/>
        <w:ind w:left="720"/>
        <w:rPr>
          <w:lang w:val="it-IT"/>
        </w:rPr>
      </w:pPr>
    </w:p>
    <w:p w14:paraId="01741B30" w14:textId="77777777" w:rsidR="008126C5" w:rsidRDefault="008126C5" w:rsidP="008126C5">
      <w:pPr>
        <w:spacing w:after="0" w:line="240" w:lineRule="auto"/>
        <w:ind w:left="720"/>
      </w:pPr>
    </w:p>
    <w:p w14:paraId="5E43BA35" w14:textId="77777777" w:rsidR="008126C5" w:rsidRPr="00B04398" w:rsidRDefault="008126C5" w:rsidP="008126C5">
      <w:pPr>
        <w:tabs>
          <w:tab w:val="num" w:pos="720"/>
        </w:tabs>
        <w:spacing w:after="0" w:line="240" w:lineRule="auto"/>
        <w:ind w:left="720"/>
        <w:rPr>
          <w:b/>
        </w:rPr>
      </w:pPr>
      <w:r>
        <w:rPr>
          <w:b/>
          <w:noProof/>
        </w:rPr>
        <w:lastRenderedPageBreak/>
        <w:t xml:space="preserve">3.2. </w:t>
      </w:r>
      <w:r w:rsidRPr="00B04398">
        <w:rPr>
          <w:b/>
        </w:rPr>
        <w:t>În domeniul solului şi vegetaţiei</w:t>
      </w:r>
    </w:p>
    <w:p w14:paraId="674B5ED1" w14:textId="77777777" w:rsidR="008126C5" w:rsidRPr="00B04398" w:rsidRDefault="008126C5" w:rsidP="008126C5">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51815BE1" w14:textId="77777777" w:rsidR="008126C5" w:rsidRPr="00B04398" w:rsidRDefault="008126C5" w:rsidP="008126C5">
      <w:pPr>
        <w:spacing w:after="0" w:line="240" w:lineRule="auto"/>
        <w:ind w:left="720"/>
        <w:rPr>
          <w:noProof/>
          <w:sz w:val="16"/>
          <w:szCs w:val="16"/>
        </w:rPr>
      </w:pPr>
    </w:p>
    <w:p w14:paraId="6AAEAC6A" w14:textId="77777777" w:rsidR="008126C5" w:rsidRPr="00B04398" w:rsidRDefault="008126C5" w:rsidP="008126C5">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4A194B01" w14:textId="77777777" w:rsidR="008126C5" w:rsidRPr="00B04398" w:rsidRDefault="008126C5" w:rsidP="008126C5">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75F3FCD" w14:textId="77777777" w:rsidR="008126C5" w:rsidRPr="00B04398" w:rsidRDefault="008126C5" w:rsidP="008126C5">
      <w:pPr>
        <w:spacing w:after="0" w:line="240" w:lineRule="auto"/>
        <w:ind w:left="720"/>
        <w:rPr>
          <w:b/>
          <w:noProof/>
          <w:sz w:val="16"/>
          <w:szCs w:val="16"/>
        </w:rPr>
      </w:pPr>
    </w:p>
    <w:p w14:paraId="2C1F7E88" w14:textId="77777777" w:rsidR="008126C5" w:rsidRPr="00B04398" w:rsidRDefault="008126C5" w:rsidP="008126C5">
      <w:pPr>
        <w:spacing w:after="0" w:line="240" w:lineRule="auto"/>
        <w:ind w:left="720"/>
        <w:rPr>
          <w:b/>
          <w:noProof/>
        </w:rPr>
      </w:pPr>
      <w:r>
        <w:rPr>
          <w:b/>
          <w:noProof/>
        </w:rPr>
        <w:t xml:space="preserve">3.4. </w:t>
      </w:r>
      <w:r w:rsidRPr="00B04398">
        <w:rPr>
          <w:b/>
        </w:rPr>
        <w:t>Î</w:t>
      </w:r>
      <w:r w:rsidRPr="00B04398">
        <w:rPr>
          <w:b/>
          <w:noProof/>
        </w:rPr>
        <w:t>n municipiul Bucureşti</w:t>
      </w:r>
    </w:p>
    <w:p w14:paraId="4F45DFD4" w14:textId="77777777" w:rsidR="008126C5" w:rsidRPr="00B04398" w:rsidRDefault="008126C5" w:rsidP="008126C5">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4D0B8F1A" w14:textId="77777777" w:rsidR="008126C5" w:rsidRDefault="008126C5" w:rsidP="008126C5">
      <w:pPr>
        <w:spacing w:after="0" w:line="240" w:lineRule="auto"/>
        <w:ind w:left="720"/>
        <w:jc w:val="center"/>
        <w:rPr>
          <w:b/>
          <w:bCs/>
          <w:noProof/>
        </w:rPr>
      </w:pPr>
    </w:p>
    <w:p w14:paraId="4F7DBF65" w14:textId="77777777" w:rsidR="008126C5" w:rsidRPr="00B244F4" w:rsidRDefault="008126C5" w:rsidP="008126C5">
      <w:pPr>
        <w:spacing w:after="0" w:line="240" w:lineRule="auto"/>
        <w:ind w:left="720"/>
        <w:rPr>
          <w:b/>
          <w:noProof/>
          <w:u w:val="single"/>
        </w:rPr>
      </w:pPr>
      <w:r>
        <w:rPr>
          <w:b/>
          <w:noProof/>
        </w:rPr>
        <w:t>IV</w:t>
      </w:r>
      <w:r w:rsidRPr="00BC2A83">
        <w:rPr>
          <w:b/>
          <w:noProof/>
        </w:rPr>
        <w:t>.</w:t>
      </w:r>
      <w:r w:rsidRPr="00BC2A83">
        <w:rPr>
          <w:b/>
          <w:noProof/>
        </w:rPr>
        <w:tab/>
      </w:r>
      <w:r w:rsidRPr="00B244F4">
        <w:rPr>
          <w:b/>
          <w:noProof/>
          <w:u w:val="single"/>
        </w:rPr>
        <w:t>ALIMENTĂRI CU APĂ</w:t>
      </w:r>
    </w:p>
    <w:p w14:paraId="26247590" w14:textId="77777777" w:rsidR="008126C5" w:rsidRPr="0030796D" w:rsidRDefault="008126C5" w:rsidP="008126C5">
      <w:pPr>
        <w:spacing w:after="0" w:line="240" w:lineRule="auto"/>
        <w:ind w:left="720"/>
        <w:rPr>
          <w:noProof/>
        </w:rPr>
      </w:pPr>
    </w:p>
    <w:p w14:paraId="5FBED00E" w14:textId="77777777" w:rsidR="008126C5" w:rsidRPr="0030796D" w:rsidRDefault="008126C5" w:rsidP="008126C5">
      <w:pPr>
        <w:spacing w:after="0" w:line="240" w:lineRule="auto"/>
        <w:ind w:left="720"/>
        <w:rPr>
          <w:b/>
          <w:bCs/>
          <w:i/>
          <w:noProof/>
        </w:rPr>
      </w:pPr>
      <w:r w:rsidRPr="0030796D">
        <w:rPr>
          <w:b/>
          <w:bCs/>
          <w:i/>
          <w:noProof/>
        </w:rPr>
        <w:t xml:space="preserve">Administraţia Bazinală de Apă Prut-Bârlad </w:t>
      </w:r>
    </w:p>
    <w:p w14:paraId="36409283" w14:textId="77777777" w:rsidR="008126C5" w:rsidRPr="0030796D" w:rsidRDefault="008126C5" w:rsidP="008126C5">
      <w:pPr>
        <w:spacing w:after="0" w:line="240" w:lineRule="auto"/>
        <w:ind w:left="720"/>
        <w:rPr>
          <w:bCs/>
          <w:noProof/>
          <w:u w:val="single"/>
        </w:rPr>
      </w:pPr>
      <w:r w:rsidRPr="0030796D">
        <w:rPr>
          <w:bCs/>
          <w:noProof/>
          <w:u w:val="single"/>
        </w:rPr>
        <w:t>Judeţul Botoşani</w:t>
      </w:r>
    </w:p>
    <w:p w14:paraId="664174DE" w14:textId="77777777" w:rsidR="008126C5" w:rsidRPr="0030796D" w:rsidRDefault="008126C5" w:rsidP="008126C5">
      <w:pPr>
        <w:spacing w:after="0" w:line="240" w:lineRule="auto"/>
        <w:ind w:left="720"/>
        <w:rPr>
          <w:bCs/>
          <w:noProof/>
        </w:rPr>
      </w:pPr>
      <w:r w:rsidRPr="0030796D">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782D5B36" w14:textId="77777777" w:rsidR="008126C5" w:rsidRPr="0030796D" w:rsidRDefault="008126C5" w:rsidP="008126C5">
      <w:pPr>
        <w:spacing w:after="0" w:line="240" w:lineRule="auto"/>
        <w:ind w:left="720"/>
        <w:rPr>
          <w:bCs/>
          <w:noProof/>
        </w:rPr>
      </w:pPr>
      <w:r w:rsidRPr="0030796D">
        <w:rPr>
          <w:bCs/>
          <w:noProof/>
        </w:rPr>
        <w:t>Se menţine Planul de restricţii în alimentarea cu apă - treapta a III-a, pentru A.N.I.F. Filiala Teritorială Moldova Nord-U.A Botoşani-Sistemul de irigaţii Movileni-Havarna, sursa ac. Cal Alb - r. Baseu.</w:t>
      </w:r>
    </w:p>
    <w:p w14:paraId="7F111C67" w14:textId="77777777" w:rsidR="008126C5" w:rsidRPr="0030796D" w:rsidRDefault="008126C5" w:rsidP="008126C5">
      <w:pPr>
        <w:spacing w:after="0" w:line="240" w:lineRule="auto"/>
        <w:ind w:left="720"/>
        <w:rPr>
          <w:bCs/>
          <w:noProof/>
          <w:u w:val="single"/>
        </w:rPr>
      </w:pPr>
      <w:r w:rsidRPr="0030796D">
        <w:rPr>
          <w:bCs/>
          <w:noProof/>
          <w:u w:val="single"/>
        </w:rPr>
        <w:t>Judeţul Iaşi:</w:t>
      </w:r>
    </w:p>
    <w:p w14:paraId="4E7B89F0" w14:textId="77777777" w:rsidR="008126C5" w:rsidRPr="0030796D" w:rsidRDefault="008126C5" w:rsidP="008126C5">
      <w:pPr>
        <w:spacing w:after="0" w:line="240" w:lineRule="auto"/>
        <w:ind w:left="720"/>
        <w:rPr>
          <w:bCs/>
          <w:noProof/>
        </w:rPr>
      </w:pPr>
      <w:r w:rsidRPr="0030796D">
        <w:rPr>
          <w:bCs/>
          <w:noProof/>
        </w:rPr>
        <w:t xml:space="preserve">Se menţine situaţia de restricţii în alimentarea cu apă pentru piscicultură la folosinţele: </w:t>
      </w:r>
    </w:p>
    <w:p w14:paraId="74679307" w14:textId="77777777" w:rsidR="008126C5" w:rsidRPr="0030796D" w:rsidRDefault="008126C5" w:rsidP="008126C5">
      <w:pPr>
        <w:spacing w:after="0" w:line="240" w:lineRule="auto"/>
        <w:ind w:left="720"/>
        <w:rPr>
          <w:bCs/>
          <w:noProof/>
        </w:rPr>
      </w:pPr>
      <w:r w:rsidRPr="0030796D">
        <w:rPr>
          <w:bCs/>
          <w:noProof/>
        </w:rPr>
        <w:t>- S.C. Noralex S.R.L. Iași, S.C. Piscicola S.R.L. Iași și S.C. CC &amp; PES S.R.L. Iași prin reducerea debitelor la sursa r. Miletin – ac. Hălceni corespunzător treptei III de aplicare a restricțiilor;</w:t>
      </w:r>
    </w:p>
    <w:p w14:paraId="44806163" w14:textId="77777777" w:rsidR="008126C5" w:rsidRPr="0030796D" w:rsidRDefault="008126C5" w:rsidP="008126C5">
      <w:pPr>
        <w:spacing w:after="0" w:line="240" w:lineRule="auto"/>
        <w:ind w:left="720"/>
        <w:rPr>
          <w:bCs/>
          <w:noProof/>
        </w:rPr>
      </w:pPr>
      <w:r w:rsidRPr="0030796D">
        <w:rPr>
          <w:bCs/>
          <w:noProof/>
        </w:rPr>
        <w:t>- S.C. ACVACOM S.R.L. Iaşi prin reducerea debitelor la sursa r. Gurguiata – ac. Plopi corespunzător treptei III de aplicare a restricţiilor;</w:t>
      </w:r>
    </w:p>
    <w:p w14:paraId="0C24F7E6" w14:textId="77777777" w:rsidR="008126C5" w:rsidRPr="0030796D" w:rsidRDefault="008126C5" w:rsidP="008126C5">
      <w:pPr>
        <w:spacing w:after="0" w:line="240" w:lineRule="auto"/>
        <w:ind w:left="720"/>
        <w:rPr>
          <w:bCs/>
          <w:noProof/>
          <w:lang w:val="it-IT"/>
        </w:rPr>
      </w:pPr>
      <w:r w:rsidRPr="0030796D">
        <w:rPr>
          <w:bCs/>
          <w:noProof/>
        </w:rPr>
        <w:t>- S.C. MIHPES S.R.L. Iaşi prin reducerea debitelor la sursa r. Valea Oii – ac. Sarca corespunzător treptei III de aplicare a restricţiilor</w:t>
      </w:r>
      <w:r w:rsidRPr="0030796D">
        <w:rPr>
          <w:bCs/>
          <w:noProof/>
          <w:lang w:val="it-IT"/>
        </w:rPr>
        <w:t>;</w:t>
      </w:r>
    </w:p>
    <w:p w14:paraId="0146D95F" w14:textId="77777777" w:rsidR="008126C5" w:rsidRPr="0030796D" w:rsidRDefault="008126C5" w:rsidP="008126C5">
      <w:pPr>
        <w:spacing w:after="0" w:line="240" w:lineRule="auto"/>
        <w:ind w:left="720"/>
        <w:rPr>
          <w:bCs/>
          <w:noProof/>
        </w:rPr>
      </w:pPr>
      <w:r w:rsidRPr="0030796D">
        <w:rPr>
          <w:bCs/>
          <w:noProof/>
        </w:rPr>
        <w:t>- S.C. APAVITAL S.A. Iași prin reducerea debitelor la sursa r. Bahlui – ac. Parcovaci corespunzător treptei II de aplicare a restricțiilor.</w:t>
      </w:r>
    </w:p>
    <w:p w14:paraId="160DC870" w14:textId="77777777" w:rsidR="008126C5" w:rsidRPr="0030796D" w:rsidRDefault="008126C5" w:rsidP="008126C5">
      <w:pPr>
        <w:spacing w:after="0" w:line="240" w:lineRule="auto"/>
        <w:ind w:left="720"/>
        <w:rPr>
          <w:bCs/>
          <w:noProof/>
          <w:u w:val="single"/>
        </w:rPr>
      </w:pPr>
      <w:r w:rsidRPr="0030796D">
        <w:rPr>
          <w:bCs/>
          <w:noProof/>
          <w:u w:val="single"/>
        </w:rPr>
        <w:t>Judeţul Vaslui</w:t>
      </w:r>
    </w:p>
    <w:p w14:paraId="29CF29A3" w14:textId="77777777" w:rsidR="008126C5" w:rsidRPr="0030796D" w:rsidRDefault="008126C5" w:rsidP="008126C5">
      <w:pPr>
        <w:spacing w:after="0" w:line="240" w:lineRule="auto"/>
        <w:ind w:left="720"/>
        <w:rPr>
          <w:bCs/>
          <w:noProof/>
        </w:rPr>
      </w:pPr>
      <w:r w:rsidRPr="0030796D">
        <w:rPr>
          <w:bCs/>
          <w:noProof/>
        </w:rPr>
        <w:lastRenderedPageBreak/>
        <w:t>Se menţin prevederile „Planului de restricţii şi folosire a apei în perioade deficitare”, astfel:</w:t>
      </w:r>
    </w:p>
    <w:p w14:paraId="0B7D12FE" w14:textId="77777777" w:rsidR="008126C5" w:rsidRPr="0030796D" w:rsidRDefault="008126C5" w:rsidP="008126C5">
      <w:pPr>
        <w:spacing w:after="0" w:line="240" w:lineRule="auto"/>
        <w:ind w:left="720"/>
        <w:rPr>
          <w:bCs/>
          <w:noProof/>
          <w:lang w:val="it-IT"/>
        </w:rPr>
      </w:pPr>
      <w:r w:rsidRPr="0030796D">
        <w:rPr>
          <w:bCs/>
          <w:noProof/>
        </w:rPr>
        <w:t>- treapta III - ANIF Filiala Teritorială de Îmbunătăţiri Funciare Vaslui-Amenajare de irigaţii Mânjeşti, sursa acumularea Mânjeşti</w:t>
      </w:r>
      <w:r w:rsidRPr="0030796D">
        <w:rPr>
          <w:bCs/>
          <w:noProof/>
          <w:lang w:val="it-IT"/>
        </w:rPr>
        <w:t>;</w:t>
      </w:r>
    </w:p>
    <w:p w14:paraId="584E6204" w14:textId="77777777" w:rsidR="008126C5" w:rsidRPr="0030796D" w:rsidRDefault="008126C5" w:rsidP="008126C5">
      <w:pPr>
        <w:spacing w:after="0" w:line="240" w:lineRule="auto"/>
        <w:ind w:left="720"/>
        <w:rPr>
          <w:bCs/>
          <w:noProof/>
        </w:rPr>
      </w:pPr>
      <w:r w:rsidRPr="0030796D">
        <w:rPr>
          <w:bCs/>
          <w:noProof/>
          <w:lang w:val="it-IT"/>
        </w:rPr>
        <w:t>-</w:t>
      </w:r>
      <w:r w:rsidRPr="0030796D">
        <w:rPr>
          <w:noProof/>
          <w:lang w:val="it-IT"/>
        </w:rPr>
        <w:t xml:space="preserve"> </w:t>
      </w:r>
      <w:r w:rsidRPr="0030796D">
        <w:rPr>
          <w:bCs/>
          <w:noProof/>
          <w:lang w:val="it-IT"/>
        </w:rPr>
        <w:t>treapta III - pentru S.C. AQUAVAS S.A. Vaslui – Sucursala Vaslui din acumularea Soleşti</w:t>
      </w:r>
      <w:r w:rsidRPr="0030796D">
        <w:rPr>
          <w:bCs/>
          <w:noProof/>
        </w:rPr>
        <w:t>.</w:t>
      </w:r>
    </w:p>
    <w:p w14:paraId="52131D70" w14:textId="77777777" w:rsidR="008126C5" w:rsidRPr="0030796D" w:rsidRDefault="008126C5" w:rsidP="008126C5">
      <w:pPr>
        <w:spacing w:after="0" w:line="240" w:lineRule="auto"/>
        <w:ind w:left="720"/>
        <w:rPr>
          <w:bCs/>
          <w:noProof/>
        </w:rPr>
      </w:pPr>
    </w:p>
    <w:p w14:paraId="425D3C16" w14:textId="77777777" w:rsidR="008126C5" w:rsidRPr="0030796D" w:rsidRDefault="008126C5" w:rsidP="008126C5">
      <w:pPr>
        <w:spacing w:after="0" w:line="240" w:lineRule="auto"/>
        <w:ind w:left="720"/>
        <w:rPr>
          <w:b/>
          <w:bCs/>
          <w:i/>
          <w:noProof/>
        </w:rPr>
      </w:pPr>
      <w:r w:rsidRPr="0030796D">
        <w:rPr>
          <w:b/>
          <w:bCs/>
          <w:i/>
          <w:noProof/>
        </w:rPr>
        <w:t>Administraţia Bazinală de Apă Buzău-Ialomiţa</w:t>
      </w:r>
    </w:p>
    <w:p w14:paraId="0DD6EF23" w14:textId="77777777" w:rsidR="008126C5" w:rsidRPr="0030796D" w:rsidRDefault="008126C5" w:rsidP="008126C5">
      <w:pPr>
        <w:spacing w:after="0" w:line="240" w:lineRule="auto"/>
        <w:ind w:left="720"/>
        <w:rPr>
          <w:bCs/>
          <w:noProof/>
        </w:rPr>
      </w:pPr>
      <w:r w:rsidRPr="0030796D">
        <w:rPr>
          <w:bCs/>
          <w:noProof/>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09A0CEB6" w14:textId="77777777" w:rsidR="008126C5" w:rsidRPr="0030796D" w:rsidRDefault="008126C5" w:rsidP="008126C5">
      <w:pPr>
        <w:spacing w:after="0" w:line="240" w:lineRule="auto"/>
        <w:ind w:left="720"/>
        <w:rPr>
          <w:bCs/>
          <w:noProof/>
        </w:rPr>
      </w:pPr>
    </w:p>
    <w:p w14:paraId="7926CA0C" w14:textId="77777777" w:rsidR="008126C5" w:rsidRPr="0030796D" w:rsidRDefault="008126C5" w:rsidP="008126C5">
      <w:pPr>
        <w:spacing w:after="0" w:line="240" w:lineRule="auto"/>
        <w:ind w:left="720"/>
        <w:rPr>
          <w:b/>
          <w:bCs/>
          <w:i/>
          <w:noProof/>
        </w:rPr>
      </w:pPr>
      <w:r w:rsidRPr="0030796D">
        <w:rPr>
          <w:b/>
          <w:bCs/>
          <w:i/>
          <w:noProof/>
        </w:rPr>
        <w:t>Administraţia Bazinală de Apă Jiu</w:t>
      </w:r>
    </w:p>
    <w:p w14:paraId="60221576" w14:textId="77777777" w:rsidR="008126C5" w:rsidRPr="0030796D" w:rsidRDefault="008126C5" w:rsidP="008126C5">
      <w:pPr>
        <w:spacing w:after="0" w:line="240" w:lineRule="auto"/>
        <w:ind w:left="720"/>
        <w:rPr>
          <w:bCs/>
          <w:noProof/>
        </w:rPr>
      </w:pPr>
      <w:r w:rsidRPr="0030796D">
        <w:rPr>
          <w:bCs/>
          <w:noProof/>
        </w:rPr>
        <w:t>Începând cu data de 17.05.2022 a fost oprită alimentarea cu apă a Barajului Valea de Pești, din Priza Câmpu lui Neag (Buta), pentru efectuarea lucrărilor de înlocuire a conductei Buta-Baraj.</w:t>
      </w:r>
    </w:p>
    <w:p w14:paraId="6594696A" w14:textId="77777777" w:rsidR="008126C5" w:rsidRDefault="008126C5" w:rsidP="00B65F6F">
      <w:pPr>
        <w:ind w:firstLine="720"/>
        <w:rPr>
          <w:b/>
          <w:bCs/>
        </w:rPr>
      </w:pPr>
    </w:p>
    <w:p w14:paraId="5261EF75" w14:textId="3585F60D" w:rsidR="00FA65AC" w:rsidRPr="00AD1AB4" w:rsidRDefault="00DF5C20" w:rsidP="00B65F6F">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50DC" w14:textId="77777777" w:rsidR="00661CF6" w:rsidRDefault="00661CF6" w:rsidP="00F721A4">
      <w:pPr>
        <w:spacing w:after="0" w:line="240" w:lineRule="auto"/>
      </w:pPr>
      <w:r>
        <w:separator/>
      </w:r>
    </w:p>
  </w:endnote>
  <w:endnote w:type="continuationSeparator" w:id="0">
    <w:p w14:paraId="6F16ADB3" w14:textId="77777777" w:rsidR="00661CF6" w:rsidRDefault="00661CF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394D" w14:textId="77777777" w:rsidR="00661CF6" w:rsidRDefault="00661CF6" w:rsidP="00F721A4">
      <w:pPr>
        <w:spacing w:after="0" w:line="240" w:lineRule="auto"/>
      </w:pPr>
      <w:r>
        <w:separator/>
      </w:r>
    </w:p>
  </w:footnote>
  <w:footnote w:type="continuationSeparator" w:id="0">
    <w:p w14:paraId="7848B847" w14:textId="77777777" w:rsidR="00661CF6" w:rsidRDefault="00661CF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26C5"/>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657AD"/>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2023-10-26T05:01:00Z</dcterms:created>
  <dcterms:modified xsi:type="dcterms:W3CDTF">2023-10-26T05:23:00Z</dcterms:modified>
</cp:coreProperties>
</file>