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130" w14:textId="77777777" w:rsidR="00545F7F" w:rsidRPr="00CA5ECE" w:rsidRDefault="00545F7F" w:rsidP="00D446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A5ECE">
        <w:rPr>
          <w:rFonts w:ascii="Times New Roman" w:hAnsi="Times New Roman" w:cs="Times New Roman"/>
          <w:b/>
          <w:bCs/>
          <w:sz w:val="24"/>
          <w:szCs w:val="24"/>
          <w:lang w:val="ro-RO"/>
        </w:rPr>
        <w:t>GUVERNUL ROMÂNIEI</w:t>
      </w:r>
    </w:p>
    <w:p w14:paraId="2BF504D5" w14:textId="77777777" w:rsidR="00545F7F" w:rsidRPr="00CA5ECE" w:rsidRDefault="00545F7F" w:rsidP="00D446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A5ECE"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A2EFF58" wp14:editId="7806DB7C">
            <wp:simplePos x="0" y="0"/>
            <wp:positionH relativeFrom="column">
              <wp:posOffset>2637155</wp:posOffset>
            </wp:positionH>
            <wp:positionV relativeFrom="paragraph">
              <wp:posOffset>134620</wp:posOffset>
            </wp:positionV>
            <wp:extent cx="677545" cy="914400"/>
            <wp:effectExtent l="0" t="0" r="8255" b="0"/>
            <wp:wrapSquare wrapText="right"/>
            <wp:docPr id="1" name="Picture 1" descr="Stema Romaniei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omaniei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72369" w14:textId="77777777" w:rsidR="00545F7F" w:rsidRPr="00CA5ECE" w:rsidRDefault="00545F7F" w:rsidP="00D446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A670A5" w14:textId="77777777" w:rsidR="00545F7F" w:rsidRPr="00CA5ECE" w:rsidRDefault="00545F7F" w:rsidP="00D446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3C73BC" w14:textId="77777777" w:rsidR="00545F7F" w:rsidRPr="00CA5ECE" w:rsidRDefault="00545F7F" w:rsidP="00D44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D30CEA3" w14:textId="77777777" w:rsidR="00545F7F" w:rsidRPr="00CA5ECE" w:rsidRDefault="00545F7F" w:rsidP="00D446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47406CE" w14:textId="77777777" w:rsidR="00545F7F" w:rsidRPr="00CA5ECE" w:rsidRDefault="00545F7F" w:rsidP="00D44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235BA2B" w14:textId="4E021D1A" w:rsidR="00545F7F" w:rsidRPr="00CA5ECE" w:rsidRDefault="00545F7F" w:rsidP="00D44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A5ECE">
        <w:rPr>
          <w:rFonts w:ascii="Times New Roman" w:hAnsi="Times New Roman" w:cs="Times New Roman"/>
          <w:b/>
          <w:bCs/>
          <w:sz w:val="24"/>
          <w:szCs w:val="24"/>
          <w:lang w:val="ro-RO"/>
        </w:rPr>
        <w:t>ORDONANŢĂ DE URGENŢĂ</w:t>
      </w:r>
      <w:r w:rsidR="00CA5B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 GUVERNULUI</w:t>
      </w:r>
    </w:p>
    <w:p w14:paraId="2233D957" w14:textId="77777777" w:rsidR="00545F7F" w:rsidRPr="00CA5ECE" w:rsidRDefault="00545F7F" w:rsidP="00D44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25B0A7" w14:textId="0B80F1FB" w:rsidR="002A1F08" w:rsidRDefault="002A1F08" w:rsidP="00D4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A1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transferarea către autoritățile </w:t>
      </w:r>
      <w:r w:rsidR="004914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administrației </w:t>
      </w:r>
      <w:r w:rsidRPr="002A1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publice locale a responsabilității plății </w:t>
      </w:r>
      <w:r w:rsidR="00564D8F" w:rsidRPr="00564D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sumei forfetare și a penalităților cominatorii </w:t>
      </w:r>
      <w:r w:rsidRPr="002A1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care decurg dintr-o posibilă condamnare a statului român la Curtea de Justiție a Uniunii Europene referitoare la </w:t>
      </w:r>
      <w:r w:rsidR="00564D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evaluarea </w:t>
      </w:r>
      <w:r w:rsidRPr="002A1F08">
        <w:rPr>
          <w:rFonts w:ascii="Times New Roman" w:hAnsi="Times New Roman" w:cs="Times New Roman"/>
          <w:b/>
          <w:sz w:val="24"/>
          <w:szCs w:val="24"/>
          <w:lang w:val="ro-RO"/>
        </w:rPr>
        <w:t>calit</w:t>
      </w:r>
      <w:r w:rsidR="00564D8F">
        <w:rPr>
          <w:rFonts w:ascii="Times New Roman" w:hAnsi="Times New Roman" w:cs="Times New Roman"/>
          <w:b/>
          <w:sz w:val="24"/>
          <w:szCs w:val="24"/>
          <w:lang w:val="ro-RO"/>
        </w:rPr>
        <w:t>ății</w:t>
      </w:r>
      <w:r w:rsidRPr="002A1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aerului</w:t>
      </w:r>
      <w:r w:rsidR="0098057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662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</w:t>
      </w:r>
      <w:r w:rsidR="0036622F" w:rsidRPr="005439A2">
        <w:rPr>
          <w:rFonts w:ascii="Times New Roman" w:hAnsi="Times New Roman" w:cs="Times New Roman"/>
          <w:b/>
          <w:sz w:val="24"/>
          <w:szCs w:val="24"/>
          <w:lang w:val="ro-RO"/>
        </w:rPr>
        <w:t>nefinalizarea procedurilor de închidere a depozitelor de deșeuri neconforme care fac obiectul Cauzei C-301/17</w:t>
      </w:r>
    </w:p>
    <w:p w14:paraId="52F6CC89" w14:textId="77777777" w:rsidR="00545F7F" w:rsidRDefault="00545F7F" w:rsidP="00955EE3">
      <w:pPr>
        <w:tabs>
          <w:tab w:val="left" w:pos="1134"/>
        </w:tabs>
        <w:spacing w:after="0" w:line="240" w:lineRule="auto"/>
        <w:ind w:left="-426" w:firstLine="568"/>
        <w:jc w:val="both"/>
        <w:rPr>
          <w:rStyle w:val="spar"/>
          <w:bdr w:val="none" w:sz="0" w:space="0" w:color="auto" w:frame="1"/>
          <w:shd w:val="clear" w:color="auto" w:fill="FFFFFF"/>
          <w:lang w:val="ro-RO"/>
        </w:rPr>
      </w:pPr>
      <w:r w:rsidRPr="00CA5E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</w:p>
    <w:p w14:paraId="767732A1" w14:textId="7F024A2F" w:rsidR="00FE2CF0" w:rsidRPr="00EE1F15" w:rsidRDefault="00EE1F15" w:rsidP="00475F19">
      <w:pPr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Având în vedere</w:t>
      </w:r>
      <w:r w:rsidR="002A1F08" w:rsidRPr="00CA5EC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2A1F08" w:rsidRPr="002A1F0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Hotărârea Curții de Justiție a Uniunii Europene </w:t>
      </w:r>
      <w:r w:rsid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din 30 aprilie 2020 î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n cauza C</w:t>
      </w:r>
      <w:r w:rsidR="00DE7DB1">
        <w:rPr>
          <w:rFonts w:ascii="Times New Roman" w:hAnsi="Times New Roman" w:cs="Times New Roman"/>
          <w:bCs/>
          <w:iCs/>
          <w:sz w:val="24"/>
          <w:szCs w:val="24"/>
          <w:lang w:val="ro-RO"/>
        </w:rPr>
        <w:t>-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638/18,</w:t>
      </w:r>
      <w:r w:rsid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având ca obiect o acțiune în constatarea neîndeplinirii obligațiilor formulată în temeiul art</w:t>
      </w:r>
      <w:r w:rsid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258 din </w:t>
      </w:r>
      <w:r w:rsidR="005A43F1" w:rsidRP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>Tratatul privind funcționarea Uniunii Europene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introdusă la 12 octombrie 2018 </w:t>
      </w:r>
      <w:r w:rsid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privind 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„Neîndeplinirea obligațiilor de către un stat membru – Mediu – Directiva 2008/50/CE – Calitatea aerului înconjurător – Articolul 13 alineatul (1) și anexa XI – Depășire sistematică și persistentă a valorilor</w:t>
      </w:r>
      <w:r w:rsidR="00DE7DB1">
        <w:rPr>
          <w:rFonts w:ascii="Times New Roman" w:hAnsi="Times New Roman" w:cs="Times New Roman"/>
          <w:bCs/>
          <w:iCs/>
          <w:sz w:val="24"/>
          <w:szCs w:val="24"/>
          <w:lang w:val="ro-RO"/>
        </w:rPr>
        <w:t>-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limită pentru microparticule (PM</w:t>
      </w:r>
      <w:r w:rsidR="006342A9" w:rsidRPr="00812DEF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ro-RO"/>
        </w:rPr>
        <w:t>10</w:t>
      </w:r>
      <w:r w:rsidR="006342A9" w:rsidRPr="006342A9">
        <w:rPr>
          <w:rFonts w:ascii="Times New Roman" w:hAnsi="Times New Roman" w:cs="Times New Roman"/>
          <w:bCs/>
          <w:iCs/>
          <w:sz w:val="24"/>
          <w:szCs w:val="24"/>
          <w:lang w:val="ro-RO"/>
        </w:rPr>
        <w:t>) în zona RO32101 (București, România) – Articolul 23 alineatul (1) – Anexa XV – Perioadă de depășire «cât mai scurtă cu putință» – Măsuri potrivite”</w:t>
      </w:r>
      <w:r w:rsidR="00D6495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și </w:t>
      </w:r>
      <w:r w:rsid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cauza </w:t>
      </w:r>
      <w:r w:rsidR="00335BC2" w:rsidRP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>2020/2206</w:t>
      </w:r>
      <w:r w:rsid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având ca obiect o</w:t>
      </w:r>
      <w:r w:rsidR="00647F31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47F31" w:rsidRP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acțiune în constatarea neîndeplinirii obligațiilor </w:t>
      </w:r>
      <w:r w:rsid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ce revin României </w:t>
      </w:r>
      <w:r w:rsidR="00647F31" w:rsidRP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în temeiul prevederilor Directivei 2008/50/CE din 21 mai 2008 privind calitatea aerului înconjurător și un aer mai curat pentru Europa</w:t>
      </w:r>
      <w:r w:rsid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D832CB" w:rsidRPr="00D832C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în ceea ce privește valorile-limită pentru dioxidul </w:t>
      </w:r>
      <w:r w:rsidR="00D832CB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 azot</w:t>
      </w:r>
      <w:r w:rsidR="00D832CB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</w:p>
    <w:p w14:paraId="29A726C1" w14:textId="0E995D62" w:rsidR="00FE2CF0" w:rsidRDefault="00FE2CF0" w:rsidP="00475F19">
      <w:pPr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A5ECE">
        <w:rPr>
          <w:rFonts w:ascii="Times New Roman" w:hAnsi="Times New Roman" w:cs="Times New Roman"/>
          <w:bCs/>
          <w:iCs/>
          <w:sz w:val="24"/>
          <w:szCs w:val="24"/>
          <w:lang w:val="ro-RO"/>
        </w:rPr>
        <w:t>Luând în considera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re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că România nu a închis toate cele 68 de depozite neconforme de deșeuri, în data de 23.02.2022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Grefa </w:t>
      </w:r>
      <w:r w:rsidR="00EE1F15" w:rsidRP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Curții de Justiție a Uniunii Europene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 transmis cererea introductivă de instanță în Cauza C-109/22, având ca obiect procedura de infringement privind neexecutarea hotărârii p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ronunțate de Curtea de Justiție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Uniunii Europene la data de 18.10.2018 în Cauza C-301/17, Comisia Europeană împotriva României, vizând depozitele de deșeuri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6608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cărei procedură scrisă s-a finalizat în data de 29.09.2022,</w:t>
      </w:r>
    </w:p>
    <w:p w14:paraId="68FD6D78" w14:textId="6FC9ABD2" w:rsidR="00FE2CF0" w:rsidRPr="0036622F" w:rsidRDefault="00FE2CF0" w:rsidP="00475F19">
      <w:pPr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ro-RO"/>
        </w:rPr>
      </w:pPr>
      <w:r w:rsidRPr="00CA5EC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Ținând cont de </w:t>
      </w:r>
      <w:r w:rsidR="00EE1F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faptul că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în conformitate cu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prevederil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e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art. 260 alin. (2) din Tratatul privind funcționarea Uniunii Europene, nerespectarea de către România a dispozițiilor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62E4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Directiv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ei</w:t>
      </w:r>
      <w:r w:rsidRPr="00762E4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1999/31/CE 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62E4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Consiliului din 26 aprilie 1999 privind depozitele de deșeuri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România  poate fi obligată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la plata unor penalități pe zi de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întârziere pentru încălcarea obligației de a lua măsurile necesare pen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tru a se conforma hotărârii în </w:t>
      </w:r>
      <w:r w:rsidR="00EE1F15" w:rsidRPr="00475F19">
        <w:rPr>
          <w:rStyle w:val="spar"/>
        </w:rPr>
        <w:t>Cauza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C-301/17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Comisi</w:t>
      </w:r>
      <w:r w:rsid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 </w:t>
      </w:r>
      <w:r w:rsidR="005A43F1" w:rsidRP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>Europeană împotriva României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 cuantum de 29</w:t>
      </w:r>
      <w:r w:rsidR="00DE7DB1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781,3 euro pe zi de la data pronunțării hotărârii în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această cauză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şi până la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adoptarea tuturor măsurilor necesare pentru a se confor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ma hotărârii în cauza C</w:t>
      </w:r>
      <w:r w:rsidR="00802DA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-</w:t>
      </w:r>
      <w:r w:rsidR="00802DA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301/17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și de faptul că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România, în conformitate cu prevederile art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260 alin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(2) din</w:t>
      </w:r>
      <w:r w:rsidR="005A43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5A43F1" w:rsidRP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>Tratatul privind funcționarea Uniunii Europene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poate fi obligată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la plata unei sume forfetare,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b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azate pe un cuantum zilnic de 3</w:t>
      </w:r>
      <w:r w:rsidR="00603246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311,5 euro, înmulțit cu numărul zilelor care s-au scurs începând din ziua următoare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pronunțăr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ii hotărârii în cauza C</w:t>
      </w:r>
      <w:r w:rsidR="00802DA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-</w:t>
      </w:r>
      <w:r w:rsidR="00802DA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301/17 </w:t>
      </w:r>
      <w:r w:rsidR="005A43F1" w:rsidRP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Comisia Europeană împotriva României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până la data luării tuturor măsurilor necesare de către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România pentru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se conforma acestei hotărâri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sau, în lipsa luării acestor măsuri, până la data pronunțării hotărârii de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către CJUE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în prezenta cauză, sub rezerva depășirii sumei forfetare minime de 1</w:t>
      </w:r>
      <w:r w:rsidR="00603246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643</w:t>
      </w:r>
      <w:r w:rsidR="00603246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r w:rsidRPr="0089779F">
        <w:rPr>
          <w:rFonts w:ascii="Times New Roman" w:hAnsi="Times New Roman" w:cs="Times New Roman"/>
          <w:bCs/>
          <w:iCs/>
          <w:sz w:val="24"/>
          <w:szCs w:val="24"/>
          <w:lang w:val="ro-RO"/>
        </w:rPr>
        <w:t>000 euro</w:t>
      </w:r>
      <w:r w:rsidR="00EE1F15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</w:p>
    <w:p w14:paraId="77F850BC" w14:textId="1F05A094" w:rsidR="005E63A6" w:rsidRDefault="005E63A6" w:rsidP="00475F19">
      <w:pPr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A5EC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lastRenderedPageBreak/>
        <w:t xml:space="preserve">Ținând cont de 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faptul că, </w:t>
      </w:r>
      <w:r w:rsidR="00564D8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în conformitate cu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prevederil</w:t>
      </w:r>
      <w:r w:rsidR="00564D8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e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art. 260 alin. (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2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) din Tratatul privind </w:t>
      </w:r>
      <w:r w:rsidRPr="00475F19">
        <w:rPr>
          <w:rStyle w:val="spar"/>
        </w:rPr>
        <w:t>funcționarea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Uniunii Europene, nerespectarea de către România a dispozițiilor </w:t>
      </w:r>
      <w:r w:rsidRPr="0018035B">
        <w:rPr>
          <w:rFonts w:ascii="Times New Roman" w:hAnsi="Times New Roman" w:cs="Times New Roman"/>
          <w:bCs/>
          <w:iCs/>
          <w:sz w:val="24"/>
          <w:szCs w:val="24"/>
          <w:lang w:val="ro-RO"/>
        </w:rPr>
        <w:t>Directivei 2008/50/CE din 21 mai 2008 privind calitatea aerului înconjurător și un aer mai curat pentru Europa în ceea ce privește depășirea sistematică și persistentă a valorilor</w:t>
      </w:r>
      <w:r w:rsidR="00802DA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18035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‑limită pentru poluanții din 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</w:t>
      </w:r>
      <w:r w:rsidRPr="0018035B">
        <w:rPr>
          <w:rFonts w:ascii="Times New Roman" w:hAnsi="Times New Roman" w:cs="Times New Roman"/>
          <w:bCs/>
          <w:iCs/>
          <w:sz w:val="24"/>
          <w:szCs w:val="24"/>
          <w:lang w:val="ro-RO"/>
        </w:rPr>
        <w:t>nexa nr. 1 la Legea nr. 104/2011 privind calitatea aerului înconjurător, cu modificările ulterioare,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prin faptul că</w:t>
      </w:r>
      <w:r w:rsidR="00CD60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până acum,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5B062E" w:rsidRPr="00EE1F1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nu a luat măsurile pe care le impune executarea hotărârii Curții</w:t>
      </w:r>
      <w:r w:rsidRPr="00EE1F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</w:t>
      </w:r>
      <w:r w:rsidR="0018035B" w:rsidRPr="00EE1F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poate conduce la plata unor sancțiuni 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ce se pot concretiza atât în plata unei sume forfetare minime, stabilită 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prezent 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pentru România la 1.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708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.000 euro, cât și în plata unor penalități cominatorii între 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1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830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euro și 1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09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5B062E"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800</w:t>
      </w:r>
      <w:r w:rsidRPr="001803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euro pe zi de întârziere,</w:t>
      </w:r>
      <w:r w:rsidR="0066087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14:paraId="4449D5E9" w14:textId="1724AC19" w:rsidR="00564D8F" w:rsidRDefault="00564D8F" w:rsidP="00475F19">
      <w:pPr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În vederea evitării unei noi sesizări a Curții de Justiție a Uniunii Europene de către Comisia Europeană în contextul în care</w:t>
      </w:r>
      <w:r w:rsidRPr="00BB01F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aplicarea </w:t>
      </w:r>
      <w:r w:rsidRPr="00BB01F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legislaţi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ei</w:t>
      </w:r>
      <w:r w:rsidRPr="00BB01F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naţional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BB01F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privind </w:t>
      </w:r>
      <w:r w:rsidRP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>calitatea aerului înconjurător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și </w:t>
      </w:r>
      <w:r w:rsidR="00FE2CF0" w:rsidRPr="005A43F1">
        <w:rPr>
          <w:rFonts w:ascii="Times New Roman" w:hAnsi="Times New Roman" w:cs="Times New Roman"/>
          <w:sz w:val="24"/>
          <w:szCs w:val="24"/>
          <w:lang w:val="ro-RO"/>
        </w:rPr>
        <w:t>procedurilor de închidere a depozitelor de deșeuri neconforme care fac obiectul Cauzei C-301/17</w:t>
      </w:r>
      <w:r w:rsid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nu respectă întru totul principiile dreptului Uniunii Europene, fapt ce</w:t>
      </w:r>
      <w:r w:rsidRPr="00335BC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ar putea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conduce la </w:t>
      </w:r>
      <w:r w:rsidRPr="00CA5EC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nouă condamnare sau ce ar putea </w:t>
      </w:r>
      <w:r w:rsidRPr="00BB01F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determina trimiterea României la Curtea de Justiție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 Uniunii Europene,</w:t>
      </w:r>
    </w:p>
    <w:p w14:paraId="1271D7BE" w14:textId="142EB727" w:rsidR="00564D8F" w:rsidRDefault="00564D8F" w:rsidP="005E63A6">
      <w:pPr>
        <w:tabs>
          <w:tab w:val="left" w:pos="142"/>
        </w:tabs>
        <w:autoSpaceDE w:val="0"/>
        <w:autoSpaceDN w:val="0"/>
        <w:adjustRightInd w:val="0"/>
        <w:spacing w:after="240" w:line="254" w:lineRule="auto"/>
        <w:ind w:left="-425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B63809">
        <w:rPr>
          <w:rFonts w:ascii="Times New Roman" w:hAnsi="Times New Roman" w:cs="Times New Roman"/>
          <w:bCs/>
          <w:iCs/>
          <w:sz w:val="24"/>
          <w:szCs w:val="24"/>
          <w:lang w:val="ro-RO"/>
        </w:rPr>
        <w:t>Pentru respectarea obligaţiilor care decurg din calitatea de stat membru al Uniunii Europene şi valorizarea principiilor cooperării loiale, bunei-credinţe şi a echivalenţei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</w:p>
    <w:p w14:paraId="0C3E4365" w14:textId="74EAFCB7" w:rsidR="00335BC2" w:rsidRDefault="00647F31" w:rsidP="002A1F08">
      <w:pPr>
        <w:tabs>
          <w:tab w:val="left" w:pos="709"/>
          <w:tab w:val="left" w:pos="851"/>
        </w:tabs>
        <w:spacing w:after="240" w:line="240" w:lineRule="auto"/>
        <w:ind w:left="-425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Având în vedere </w:t>
      </w:r>
      <w:r w:rsidR="007A69DF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>atribuţii</w:t>
      </w:r>
      <w:r w:rsid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le</w:t>
      </w:r>
      <w:r w:rsidR="007A69DF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şi responsabilităţi</w:t>
      </w:r>
      <w:r w:rsid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le</w:t>
      </w:r>
      <w:r w:rsidR="007A69DF" w:rsidRP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AC22FF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primarilor</w:t>
      </w:r>
      <w:r w:rsidR="00AC22F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președinților 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de 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consilii județene, 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ale 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consiliilor județene</w:t>
      </w:r>
      <w:r w:rsid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E04F23" w:rsidRPr="00E04F23">
        <w:t xml:space="preserve"> </w:t>
      </w:r>
      <w:r w:rsidR="00E04F23" w:rsidRP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prin aparatul propriu de specialitate</w:t>
      </w:r>
      <w:r w:rsid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sau, după caz, 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ale 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Consiliului General al Municipiului București, prin </w:t>
      </w:r>
      <w:r w:rsid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aparatul de specialitate al 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primarul</w:t>
      </w:r>
      <w:r w:rsid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ui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general al municipiului București, la propunerea primarilor sectoarelor municipiului București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C903CA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B0F9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prevăzute la art. </w:t>
      </w:r>
      <w:r w:rsidR="00A718CD">
        <w:rPr>
          <w:rFonts w:ascii="Times New Roman" w:hAnsi="Times New Roman" w:cs="Times New Roman"/>
          <w:bCs/>
          <w:iCs/>
          <w:sz w:val="24"/>
          <w:szCs w:val="24"/>
          <w:lang w:val="ro-RO"/>
        </w:rPr>
        <w:t>21 alin (1) lit. b)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și</w:t>
      </w:r>
      <w:r w:rsidR="00A718C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alin. (2), 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precum și la</w:t>
      </w:r>
      <w:r w:rsidR="00A718C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art. </w:t>
      </w:r>
      <w:r w:rsidR="006B0F98">
        <w:rPr>
          <w:rFonts w:ascii="Times New Roman" w:hAnsi="Times New Roman" w:cs="Times New Roman"/>
          <w:bCs/>
          <w:iCs/>
          <w:sz w:val="24"/>
          <w:szCs w:val="24"/>
          <w:lang w:val="ro-RO"/>
        </w:rPr>
        <w:t>22 lit. c), d), e)</w:t>
      </w:r>
      <w:r w:rsidR="00564D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și</w:t>
      </w:r>
      <w:r w:rsidR="006B0F9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h) </w:t>
      </w:r>
      <w:r w:rsid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din Legea nr. 104/2011 </w:t>
      </w:r>
      <w:r w:rsidR="007A69DF" w:rsidRP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privind calitatea aerului înconjurător</w:t>
      </w:r>
      <w:r w:rsid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cu modificările ulterioare</w:t>
      </w:r>
      <w:r w:rsidR="005A43F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</w:p>
    <w:p w14:paraId="137CD42E" w14:textId="7B4FF2F3" w:rsidR="00FE2CF0" w:rsidRPr="00AB59E9" w:rsidRDefault="005A43F1" w:rsidP="002A1F08">
      <w:pPr>
        <w:tabs>
          <w:tab w:val="left" w:pos="709"/>
          <w:tab w:val="left" w:pos="851"/>
        </w:tabs>
        <w:spacing w:after="240" w:line="240" w:lineRule="auto"/>
        <w:ind w:left="-425" w:firstLine="567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De asemenea, a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vând în vedere </w:t>
      </w:r>
      <w:r w:rsidR="00FE2CF0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>atribuţii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le</w:t>
      </w:r>
      <w:r w:rsidR="00FE2CF0" w:rsidRPr="00647F3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şi responsabilităţi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le</w:t>
      </w:r>
      <w:r w:rsidR="00FE2CF0" w:rsidRPr="007A69D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primarilor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președinților 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de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consilii județene, 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ale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consiliilor județene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FE2CF0" w:rsidRPr="00E04F23">
        <w:t xml:space="preserve"> </w:t>
      </w:r>
      <w:r w:rsidR="00FE2CF0" w:rsidRPr="00E04F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prin aparatul propriu de specialitate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sau, după caz, 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ale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Consiliului General al Municipiului București, prin 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aparatul de specialitate al 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primarul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ui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general al municipiului București, la propunerea primarilor sectoarelor municipiului București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>,</w:t>
      </w:r>
      <w:r w:rsidR="00FE2CF0" w:rsidRPr="00C903C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prevăzute  la  art. 11, art. 12, art. 15, art. 31 și art. 32 din  </w:t>
      </w:r>
      <w:r w:rsidR="00FE2CF0" w:rsidRPr="00762E4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Ordonanţa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Guvernului </w:t>
      </w:r>
      <w:r w:rsidR="00FE2CF0" w:rsidRPr="00762E4D">
        <w:rPr>
          <w:rFonts w:ascii="Times New Roman" w:hAnsi="Times New Roman" w:cs="Times New Roman"/>
          <w:bCs/>
          <w:iCs/>
          <w:sz w:val="24"/>
          <w:szCs w:val="24"/>
          <w:lang w:val="ro-RO"/>
        </w:rPr>
        <w:t>nr. 2/2021 privind depozitarea deşeurilor</w:t>
      </w:r>
      <w:r w:rsidR="00FE2CF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</w:p>
    <w:p w14:paraId="6440AB8C" w14:textId="5E7F8095" w:rsidR="00564D8F" w:rsidRDefault="00564D8F" w:rsidP="00955EE3">
      <w:pPr>
        <w:tabs>
          <w:tab w:val="left" w:pos="709"/>
          <w:tab w:val="left" w:pos="851"/>
        </w:tabs>
        <w:spacing w:line="240" w:lineRule="auto"/>
        <w:ind w:left="-426" w:firstLine="568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Hlk66868183"/>
      <w:r>
        <w:rPr>
          <w:rFonts w:ascii="Times New Roman" w:hAnsi="Times New Roman" w:cs="Times New Roman"/>
          <w:sz w:val="24"/>
          <w:szCs w:val="24"/>
          <w:lang w:val="ro-RO"/>
        </w:rPr>
        <w:t>Întrucât</w:t>
      </w:r>
      <w:r w:rsidR="00545F7F"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elementele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ante</w:t>
      </w:r>
      <w:r w:rsidR="00545F7F"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menționate constituie premisele unei situații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urgente și </w:t>
      </w:r>
      <w:r w:rsidR="00545F7F"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extraordinare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 căror reglementare nu poate fi amânată și </w:t>
      </w:r>
      <w:r w:rsidR="00545F7F"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care impune adoptarea de măsuri imediate în vederea stabilirii cadrului normativ adecvat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</w:t>
      </w:r>
      <w:r w:rsidRPr="00564D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precum </w:t>
      </w:r>
      <w:r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și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consecința </w:t>
      </w:r>
      <w:r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negativ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ă</w:t>
      </w:r>
      <w:r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asupra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bugetului de stat pe care ar </w:t>
      </w:r>
      <w:r w:rsidR="00475F1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produce-o</w:t>
      </w:r>
      <w:r w:rsidRPr="00564D8F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CA5EC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neadoptarea acestor măsuri</w:t>
      </w:r>
      <w: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</w:t>
      </w:r>
    </w:p>
    <w:p w14:paraId="2DDBA6A6" w14:textId="79D295F5" w:rsidR="00545F7F" w:rsidRPr="00CA5ECE" w:rsidRDefault="00545F7F" w:rsidP="00955EE3">
      <w:pPr>
        <w:pStyle w:val="Default"/>
        <w:tabs>
          <w:tab w:val="left" w:pos="1134"/>
        </w:tabs>
        <w:spacing w:after="160"/>
        <w:ind w:left="-426" w:firstLine="568"/>
        <w:jc w:val="both"/>
        <w:rPr>
          <w:rStyle w:val="spar"/>
          <w:color w:val="auto"/>
          <w:u w:val="single"/>
          <w:bdr w:val="none" w:sz="0" w:space="0" w:color="auto" w:frame="1"/>
          <w:shd w:val="clear" w:color="auto" w:fill="FFFFFF"/>
          <w:lang w:val="ro-RO"/>
        </w:rPr>
      </w:pPr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În considerarea </w:t>
      </w:r>
      <w:r w:rsidRPr="00CA5ECE">
        <w:rPr>
          <w:color w:val="auto"/>
          <w:lang w:val="ro-RO"/>
        </w:rPr>
        <w:t xml:space="preserve">faptului că </w:t>
      </w:r>
      <w:r w:rsidR="00564D8F">
        <w:rPr>
          <w:color w:val="auto"/>
          <w:lang w:val="ro-RO"/>
        </w:rPr>
        <w:t>aceste aspecte</w:t>
      </w:r>
      <w:r w:rsidRPr="00CA5ECE">
        <w:rPr>
          <w:color w:val="auto"/>
          <w:lang w:val="ro-RO"/>
        </w:rPr>
        <w:t xml:space="preserve"> </w:t>
      </w:r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vizează interesul public </w:t>
      </w:r>
      <w:r w:rsidR="00FA3049"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general </w:t>
      </w:r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și constituie </w:t>
      </w:r>
      <w:r w:rsidRPr="00CA5ECE">
        <w:rPr>
          <w:color w:val="auto"/>
          <w:lang w:val="ro-RO"/>
        </w:rPr>
        <w:t xml:space="preserve">situații de urgență și extraordinare a căror reglementare nu poate fi amânată, </w:t>
      </w:r>
      <w:bookmarkEnd w:id="0"/>
    </w:p>
    <w:p w14:paraId="5E94E959" w14:textId="77777777" w:rsidR="00545F7F" w:rsidRPr="00CA5ECE" w:rsidRDefault="00545F7F" w:rsidP="00955EE3">
      <w:pPr>
        <w:pStyle w:val="Default"/>
        <w:tabs>
          <w:tab w:val="left" w:pos="1134"/>
        </w:tabs>
        <w:spacing w:after="160"/>
        <w:ind w:left="-426" w:firstLine="568"/>
        <w:jc w:val="both"/>
        <w:rPr>
          <w:lang w:val="ro-RO"/>
        </w:rPr>
      </w:pPr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>În temeiul </w:t>
      </w:r>
      <w:hyperlink r:id="rId7" w:anchor="A635" w:history="1">
        <w:r w:rsidRPr="00CA5ECE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art. 115 alin. (4) din Constituția României, republicată</w:t>
        </w:r>
      </w:hyperlink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, </w:t>
      </w:r>
      <w:bookmarkStart w:id="1" w:name="do|pa5"/>
      <w:bookmarkEnd w:id="1"/>
    </w:p>
    <w:p w14:paraId="11C8DA45" w14:textId="77777777" w:rsidR="00545F7F" w:rsidRPr="002A1F08" w:rsidRDefault="00545F7F" w:rsidP="00955EE3">
      <w:pPr>
        <w:pStyle w:val="Default"/>
        <w:tabs>
          <w:tab w:val="left" w:pos="1134"/>
        </w:tabs>
        <w:ind w:left="-426" w:firstLine="568"/>
        <w:jc w:val="both"/>
        <w:rPr>
          <w:rStyle w:val="spar"/>
          <w:bCs/>
          <w:color w:val="auto"/>
          <w:bdr w:val="none" w:sz="0" w:space="0" w:color="auto" w:frame="1"/>
          <w:shd w:val="clear" w:color="auto" w:fill="FFFFFF"/>
          <w:lang w:val="ro-RO"/>
        </w:rPr>
      </w:pPr>
    </w:p>
    <w:p w14:paraId="616A41DC" w14:textId="77777777" w:rsidR="00D75DCF" w:rsidRPr="00CA5ECE" w:rsidRDefault="00D75DCF" w:rsidP="00D75DCF">
      <w:pPr>
        <w:pStyle w:val="Default"/>
        <w:tabs>
          <w:tab w:val="left" w:pos="1134"/>
        </w:tabs>
        <w:ind w:left="-426" w:firstLine="568"/>
        <w:jc w:val="both"/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</w:pPr>
      <w:r w:rsidRPr="00CA5ECE">
        <w:rPr>
          <w:rStyle w:val="spar"/>
          <w:b/>
          <w:color w:val="auto"/>
          <w:bdr w:val="none" w:sz="0" w:space="0" w:color="auto" w:frame="1"/>
          <w:shd w:val="clear" w:color="auto" w:fill="FFFFFF"/>
          <w:lang w:val="ro-RO"/>
        </w:rPr>
        <w:t>Guvernul României</w:t>
      </w:r>
      <w:r w:rsidRPr="00CA5ECE"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  <w:t xml:space="preserve"> adoptă prezenta ordonanță de urgență, </w:t>
      </w:r>
    </w:p>
    <w:p w14:paraId="446D88FC" w14:textId="77777777" w:rsidR="00D75DCF" w:rsidRPr="00CA5ECE" w:rsidRDefault="00D75DCF" w:rsidP="00D75DCF">
      <w:pPr>
        <w:pStyle w:val="Default"/>
        <w:tabs>
          <w:tab w:val="left" w:pos="1134"/>
        </w:tabs>
        <w:ind w:left="-426" w:firstLine="568"/>
        <w:jc w:val="both"/>
        <w:rPr>
          <w:rStyle w:val="spar"/>
          <w:color w:val="auto"/>
          <w:bdr w:val="none" w:sz="0" w:space="0" w:color="auto" w:frame="1"/>
          <w:shd w:val="clear" w:color="auto" w:fill="FFFFFF"/>
          <w:lang w:val="ro-RO"/>
        </w:rPr>
      </w:pPr>
    </w:p>
    <w:p w14:paraId="13A2C641" w14:textId="3A7CD591" w:rsidR="0022387F" w:rsidRDefault="0022387F" w:rsidP="00D75DCF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9B17FEE" w14:textId="6FBE7BFC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Art. 1 - (1) Suma forfetară și penalitățile cominatorii care decurg dintr-o posibilă condamnare a statului român la Curtea de Justiție a Uniunii Euro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pene pentru depășirea valorilor-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limită pentru poluanții din anexa nr. 1 la Legea nr. 104/2011 privind calitatea aerului înconjurător, cu modificările </w:t>
      </w:r>
      <w:r w:rsidR="00475F1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ulterioare,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se suportă din bugetul Ministerului Finanţelor.</w:t>
      </w:r>
    </w:p>
    <w:p w14:paraId="6985B29D" w14:textId="12DF20D7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(2) Sumele plătite în condițiile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prevăzute la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alin. (1) se recuperează de la  autorităţi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 publice locale,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în conformitate cu atribuţiile şi responsabilităţile prevăzute în Legea nr. 104/2011, cu modificările ul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terioare și se constituie titlu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executoriu la bugetul local.</w:t>
      </w:r>
    </w:p>
    <w:p w14:paraId="4922131E" w14:textId="77777777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B4436D2" w14:textId="77777777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Art. 2 – (1) Suma forfetară și penalitățile cominatorii care decurg dintr-o posibilă condamnare a statului român la Curtea de Justiție a Uniunii Europene pentru nefinalizarea procedurilor de închidere a depozitelor de deșeuri neconforme care fac obiectul Cauzei C-301/17, se suportă din bugetul Ministerului Finanțelor.</w:t>
      </w:r>
    </w:p>
    <w:p w14:paraId="42F7F6B9" w14:textId="5AC8BDAD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(2) În cazul depozitelor neconforme clasa "b" din zona urbană prevăzute în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80570"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nexa </w:t>
      </w:r>
      <w:r w:rsidR="00980570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r. 5 - Tabelele 5.1 și 5.2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Ordonanța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Guvernului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nr. 2/2021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depozitarea deșeurilor,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sumele plătite în condițiile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prevăzute la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alin. (1) se recuperează de la autoritățile publice locale titulare ale obligațiilor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de mediu și se constituie titlu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executoriu la bugetul local.</w:t>
      </w:r>
    </w:p>
    <w:p w14:paraId="3DC0E848" w14:textId="0C99C836" w:rsidR="00AB1063" w:rsidRPr="00AB1063" w:rsidRDefault="00AB1063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În cazul depozitelor neconforme de deşeuri industriale periculoase și nepericuloase prevăzute în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80570"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nexa </w:t>
      </w:r>
      <w:r w:rsidR="00980570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>r. 5 - Tabelele 5.3 și 5.4</w:t>
      </w:r>
      <w:r w:rsidR="005A43F1"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la Ordonanța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Guvernului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 2/2021</w:t>
      </w:r>
      <w:r w:rsidR="005A43F1" w:rsidRP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depozitarea deșeurilor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sumele plătite în condițiile </w:t>
      </w:r>
      <w:r w:rsidR="005A43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prevăzute la </w:t>
      </w:r>
      <w:r w:rsidRPr="00AB1063">
        <w:rPr>
          <w:rFonts w:ascii="Times New Roman" w:hAnsi="Times New Roman" w:cs="Times New Roman"/>
          <w:bCs/>
          <w:sz w:val="24"/>
          <w:szCs w:val="24"/>
          <w:lang w:val="ro-RO"/>
        </w:rPr>
        <w:t>alin. (1) se recuperează de la titularii obligațiilor de mediu și se suportă din bugetul Ministerului Finanțelor.</w:t>
      </w:r>
    </w:p>
    <w:p w14:paraId="799031DA" w14:textId="550679D5" w:rsidR="0022387F" w:rsidRDefault="005A43F1" w:rsidP="00AB1063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(4) Î</w:t>
      </w:r>
      <w:r w:rsidR="00AB1063" w:rsidRPr="00AB1063">
        <w:rPr>
          <w:rFonts w:ascii="Times New Roman" w:hAnsi="Times New Roman" w:cs="Times New Roman"/>
          <w:bCs/>
          <w:sz w:val="24"/>
          <w:szCs w:val="24"/>
          <w:lang w:val="ro-RO"/>
        </w:rPr>
        <w:t>n cazul în care, la data emiterii prezentei ordonanțe de urgență, statul român și/sau Administrația Fondului pentru Mediu a cheltuit sume pentru închiderea depozitelor de deșeuri neconforme care fac obiectul Cauzei C-301/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17, acestea se constituie titlu</w:t>
      </w:r>
      <w:r w:rsidR="00AB1063" w:rsidRPr="00AB10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executoriu la titularii obligațiilor de mediu și se suportă din bugetul Ministerului Finanțelor.</w:t>
      </w:r>
    </w:p>
    <w:p w14:paraId="114840B7" w14:textId="59832AF8" w:rsidR="007E5FBE" w:rsidRDefault="007E5FBE" w:rsidP="00D75DCF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4C644C" w14:textId="77777777" w:rsidR="00DC1076" w:rsidRDefault="00DC1076" w:rsidP="00D75DCF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CFED86" w14:textId="77777777" w:rsidR="00DC1076" w:rsidRDefault="00DC1076" w:rsidP="00D75DCF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02A40C" w14:textId="79D80BA3" w:rsidR="00545F7F" w:rsidRDefault="00545F7F" w:rsidP="00955EE3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A5ECE">
        <w:rPr>
          <w:rFonts w:ascii="Times New Roman" w:hAnsi="Times New Roman"/>
          <w:b/>
          <w:sz w:val="24"/>
          <w:szCs w:val="24"/>
          <w:lang w:val="ro-RO"/>
        </w:rPr>
        <w:t>PRIM-MINISTRU</w:t>
      </w:r>
    </w:p>
    <w:p w14:paraId="704363DF" w14:textId="77777777" w:rsidR="00DC1076" w:rsidRPr="00CA5ECE" w:rsidRDefault="00DC1076" w:rsidP="00955EE3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B5C2CC9" w14:textId="77777777" w:rsidR="00CD5D09" w:rsidRPr="00D75DCF" w:rsidRDefault="00545F7F" w:rsidP="00D75DCF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A5ECE">
        <w:rPr>
          <w:rFonts w:ascii="Times New Roman" w:hAnsi="Times New Roman"/>
          <w:b/>
          <w:sz w:val="24"/>
          <w:szCs w:val="24"/>
          <w:lang w:val="ro-RO"/>
        </w:rPr>
        <w:t>Nicolae-Ionel CIUCĂ</w:t>
      </w:r>
    </w:p>
    <w:sectPr w:rsidR="00CD5D09" w:rsidRPr="00D75DCF" w:rsidSect="00D446E2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092"/>
    <w:multiLevelType w:val="hybridMultilevel"/>
    <w:tmpl w:val="B4C4665C"/>
    <w:lvl w:ilvl="0" w:tplc="60B8F3AC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EF61C3"/>
    <w:multiLevelType w:val="hybridMultilevel"/>
    <w:tmpl w:val="8FC29840"/>
    <w:lvl w:ilvl="0" w:tplc="9B3A7A6A">
      <w:start w:val="6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AA41E6"/>
    <w:multiLevelType w:val="hybridMultilevel"/>
    <w:tmpl w:val="455EBB0E"/>
    <w:lvl w:ilvl="0" w:tplc="80ACA6DE">
      <w:start w:val="9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FC2462"/>
    <w:multiLevelType w:val="hybridMultilevel"/>
    <w:tmpl w:val="511888B6"/>
    <w:lvl w:ilvl="0" w:tplc="CDD2A37C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7BE7BCB"/>
    <w:multiLevelType w:val="hybridMultilevel"/>
    <w:tmpl w:val="BD6C9398"/>
    <w:lvl w:ilvl="0" w:tplc="D400A7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E45A54"/>
    <w:multiLevelType w:val="hybridMultilevel"/>
    <w:tmpl w:val="E584A5C4"/>
    <w:lvl w:ilvl="0" w:tplc="D624A19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125532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045755">
    <w:abstractNumId w:val="5"/>
  </w:num>
  <w:num w:numId="3" w16cid:durableId="1135174024">
    <w:abstractNumId w:val="5"/>
  </w:num>
  <w:num w:numId="4" w16cid:durableId="1459180650">
    <w:abstractNumId w:val="1"/>
  </w:num>
  <w:num w:numId="5" w16cid:durableId="1897735866">
    <w:abstractNumId w:val="2"/>
  </w:num>
  <w:num w:numId="6" w16cid:durableId="1498576612">
    <w:abstractNumId w:val="0"/>
  </w:num>
  <w:num w:numId="7" w16cid:durableId="691305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D2"/>
    <w:rsid w:val="00012124"/>
    <w:rsid w:val="00022D39"/>
    <w:rsid w:val="000260FF"/>
    <w:rsid w:val="0003661B"/>
    <w:rsid w:val="000537B6"/>
    <w:rsid w:val="0005475E"/>
    <w:rsid w:val="000C687D"/>
    <w:rsid w:val="000D05ED"/>
    <w:rsid w:val="000E5AC0"/>
    <w:rsid w:val="00134F0D"/>
    <w:rsid w:val="0018035B"/>
    <w:rsid w:val="0018496C"/>
    <w:rsid w:val="001A762D"/>
    <w:rsid w:val="001C38E1"/>
    <w:rsid w:val="001F54CD"/>
    <w:rsid w:val="0022387F"/>
    <w:rsid w:val="00241DE4"/>
    <w:rsid w:val="002857C3"/>
    <w:rsid w:val="002905AC"/>
    <w:rsid w:val="002A1F08"/>
    <w:rsid w:val="002A29A6"/>
    <w:rsid w:val="002B5E07"/>
    <w:rsid w:val="002C3528"/>
    <w:rsid w:val="002C7E02"/>
    <w:rsid w:val="002D4DF6"/>
    <w:rsid w:val="00302D44"/>
    <w:rsid w:val="00330200"/>
    <w:rsid w:val="00335BC2"/>
    <w:rsid w:val="00345C86"/>
    <w:rsid w:val="00351CDF"/>
    <w:rsid w:val="0036622F"/>
    <w:rsid w:val="0038171B"/>
    <w:rsid w:val="003A325F"/>
    <w:rsid w:val="003A468B"/>
    <w:rsid w:val="003A50D2"/>
    <w:rsid w:val="003A6626"/>
    <w:rsid w:val="003B262E"/>
    <w:rsid w:val="003B3AD9"/>
    <w:rsid w:val="003E30C1"/>
    <w:rsid w:val="00437475"/>
    <w:rsid w:val="00446047"/>
    <w:rsid w:val="00475F19"/>
    <w:rsid w:val="00491441"/>
    <w:rsid w:val="004B168A"/>
    <w:rsid w:val="004B1995"/>
    <w:rsid w:val="004B6467"/>
    <w:rsid w:val="004F57D6"/>
    <w:rsid w:val="005023E4"/>
    <w:rsid w:val="00545F7F"/>
    <w:rsid w:val="00554094"/>
    <w:rsid w:val="00564D8F"/>
    <w:rsid w:val="00585E17"/>
    <w:rsid w:val="005A43F1"/>
    <w:rsid w:val="005B062E"/>
    <w:rsid w:val="005B1267"/>
    <w:rsid w:val="005D7291"/>
    <w:rsid w:val="005E4250"/>
    <w:rsid w:val="005E63A6"/>
    <w:rsid w:val="005E66F9"/>
    <w:rsid w:val="00603246"/>
    <w:rsid w:val="00604C6B"/>
    <w:rsid w:val="006342A9"/>
    <w:rsid w:val="00647F31"/>
    <w:rsid w:val="00653169"/>
    <w:rsid w:val="0066087C"/>
    <w:rsid w:val="0069545D"/>
    <w:rsid w:val="006B0F98"/>
    <w:rsid w:val="007141D1"/>
    <w:rsid w:val="007467F1"/>
    <w:rsid w:val="00775059"/>
    <w:rsid w:val="007A1BC2"/>
    <w:rsid w:val="007A69DF"/>
    <w:rsid w:val="007E5FBE"/>
    <w:rsid w:val="00802DAD"/>
    <w:rsid w:val="00812DEF"/>
    <w:rsid w:val="00862638"/>
    <w:rsid w:val="008C52A8"/>
    <w:rsid w:val="008D0813"/>
    <w:rsid w:val="00904DB3"/>
    <w:rsid w:val="00923076"/>
    <w:rsid w:val="00955EE3"/>
    <w:rsid w:val="0097232E"/>
    <w:rsid w:val="00974179"/>
    <w:rsid w:val="00980570"/>
    <w:rsid w:val="00981653"/>
    <w:rsid w:val="009A5EA5"/>
    <w:rsid w:val="00A03B19"/>
    <w:rsid w:val="00A16A02"/>
    <w:rsid w:val="00A23754"/>
    <w:rsid w:val="00A64A42"/>
    <w:rsid w:val="00A718CD"/>
    <w:rsid w:val="00A81AD1"/>
    <w:rsid w:val="00AB1063"/>
    <w:rsid w:val="00AB59E9"/>
    <w:rsid w:val="00AC22FF"/>
    <w:rsid w:val="00AD6F58"/>
    <w:rsid w:val="00AE1AAB"/>
    <w:rsid w:val="00AF28EA"/>
    <w:rsid w:val="00B03460"/>
    <w:rsid w:val="00B61D4A"/>
    <w:rsid w:val="00B628A3"/>
    <w:rsid w:val="00B74AD4"/>
    <w:rsid w:val="00B87A89"/>
    <w:rsid w:val="00B93EE5"/>
    <w:rsid w:val="00BB01F2"/>
    <w:rsid w:val="00C903CA"/>
    <w:rsid w:val="00CA5ACA"/>
    <w:rsid w:val="00CA5BBB"/>
    <w:rsid w:val="00CA5ECE"/>
    <w:rsid w:val="00CA764C"/>
    <w:rsid w:val="00CB35CC"/>
    <w:rsid w:val="00CD5D09"/>
    <w:rsid w:val="00CD6049"/>
    <w:rsid w:val="00CE1E9A"/>
    <w:rsid w:val="00D0049F"/>
    <w:rsid w:val="00D05350"/>
    <w:rsid w:val="00D14B1B"/>
    <w:rsid w:val="00D446E2"/>
    <w:rsid w:val="00D6495C"/>
    <w:rsid w:val="00D74384"/>
    <w:rsid w:val="00D75DCF"/>
    <w:rsid w:val="00D832CB"/>
    <w:rsid w:val="00DA4EA6"/>
    <w:rsid w:val="00DC1076"/>
    <w:rsid w:val="00DE7DB1"/>
    <w:rsid w:val="00E04F23"/>
    <w:rsid w:val="00E16858"/>
    <w:rsid w:val="00E27296"/>
    <w:rsid w:val="00E27D70"/>
    <w:rsid w:val="00E65B70"/>
    <w:rsid w:val="00EA6FA1"/>
    <w:rsid w:val="00EB3A8C"/>
    <w:rsid w:val="00EE1F15"/>
    <w:rsid w:val="00EE2F7C"/>
    <w:rsid w:val="00EF0F33"/>
    <w:rsid w:val="00F1601C"/>
    <w:rsid w:val="00F31AAE"/>
    <w:rsid w:val="00F41793"/>
    <w:rsid w:val="00F44E2E"/>
    <w:rsid w:val="00F56DEA"/>
    <w:rsid w:val="00F70DDB"/>
    <w:rsid w:val="00F8038E"/>
    <w:rsid w:val="00FA3049"/>
    <w:rsid w:val="00FA4DCB"/>
    <w:rsid w:val="00FB2AD0"/>
    <w:rsid w:val="00FB4C44"/>
    <w:rsid w:val="00FC1677"/>
    <w:rsid w:val="00FE2CF0"/>
    <w:rsid w:val="00FE4EBE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8019"/>
  <w15:docId w15:val="{B5A5F6DC-64D7-4916-A070-9729274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0D2"/>
    <w:pPr>
      <w:ind w:left="720"/>
      <w:contextualSpacing/>
    </w:pPr>
  </w:style>
  <w:style w:type="paragraph" w:customStyle="1" w:styleId="Default">
    <w:name w:val="Default"/>
    <w:rsid w:val="003A5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alnttl">
    <w:name w:val="s_aln_ttl"/>
    <w:basedOn w:val="DefaultParagraphFont"/>
    <w:rsid w:val="003A50D2"/>
  </w:style>
  <w:style w:type="character" w:customStyle="1" w:styleId="salnbdy">
    <w:name w:val="s_aln_bdy"/>
    <w:basedOn w:val="DefaultParagraphFont"/>
    <w:rsid w:val="003A50D2"/>
  </w:style>
  <w:style w:type="character" w:customStyle="1" w:styleId="slitbdy">
    <w:name w:val="s_lit_bdy"/>
    <w:basedOn w:val="DefaultParagraphFont"/>
    <w:rsid w:val="003A50D2"/>
  </w:style>
  <w:style w:type="character" w:customStyle="1" w:styleId="slgi">
    <w:name w:val="s_lgi"/>
    <w:basedOn w:val="DefaultParagraphFont"/>
    <w:rsid w:val="003A50D2"/>
  </w:style>
  <w:style w:type="character" w:customStyle="1" w:styleId="spar">
    <w:name w:val="s_par"/>
    <w:basedOn w:val="DefaultParagraphFont"/>
    <w:rsid w:val="003A50D2"/>
  </w:style>
  <w:style w:type="character" w:customStyle="1" w:styleId="l5def1">
    <w:name w:val="l5def1"/>
    <w:basedOn w:val="DefaultParagraphFont"/>
    <w:rsid w:val="003A50D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3A50D2"/>
    <w:rPr>
      <w:rFonts w:ascii="Arial" w:hAnsi="Arial" w:cs="Arial" w:hint="default"/>
      <w:color w:val="000000"/>
      <w:sz w:val="26"/>
      <w:szCs w:val="26"/>
    </w:rPr>
  </w:style>
  <w:style w:type="character" w:customStyle="1" w:styleId="spubbdy">
    <w:name w:val="s_pub_bdy"/>
    <w:basedOn w:val="DefaultParagraphFont"/>
    <w:rsid w:val="003A50D2"/>
  </w:style>
  <w:style w:type="paragraph" w:styleId="BalloonText">
    <w:name w:val="Balloon Text"/>
    <w:basedOn w:val="Normal"/>
    <w:link w:val="BalloonTextChar"/>
    <w:uiPriority w:val="99"/>
    <w:semiHidden/>
    <w:unhideWhenUsed/>
    <w:rsid w:val="00A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9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2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islatie.just.ro/Public/DetaliiDocumentAfis/47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36B7-14DF-4FB7-8470-29D328FB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1269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 Iacob</dc:creator>
  <cp:lastModifiedBy>Lacramioara Chioaru</cp:lastModifiedBy>
  <cp:revision>5</cp:revision>
  <cp:lastPrinted>2023-04-13T07:55:00Z</cp:lastPrinted>
  <dcterms:created xsi:type="dcterms:W3CDTF">2023-04-24T08:01:00Z</dcterms:created>
  <dcterms:modified xsi:type="dcterms:W3CDTF">2023-04-24T08:37:00Z</dcterms:modified>
</cp:coreProperties>
</file>