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3EA30" w14:textId="77777777" w:rsidR="00F71FFE" w:rsidRPr="003C4245" w:rsidRDefault="00F71FFE" w:rsidP="00F71FFE">
      <w:pPr>
        <w:tabs>
          <w:tab w:val="left" w:pos="1134"/>
          <w:tab w:val="left" w:pos="2977"/>
          <w:tab w:val="left" w:pos="3119"/>
          <w:tab w:val="center" w:pos="5234"/>
        </w:tabs>
        <w:spacing w:after="0" w:line="360" w:lineRule="auto"/>
        <w:ind w:left="-284" w:firstLine="710"/>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                                                         </w:t>
      </w:r>
      <w:r w:rsidRPr="003C4245">
        <w:rPr>
          <w:rFonts w:ascii="Times New Roman" w:hAnsi="Times New Roman" w:cs="Times New Roman"/>
          <w:b/>
          <w:bCs/>
          <w:sz w:val="24"/>
          <w:szCs w:val="24"/>
          <w:lang w:val="ro-RO"/>
        </w:rPr>
        <w:t>GUVERNUL ROMÂNIEI</w:t>
      </w:r>
    </w:p>
    <w:p w14:paraId="4BEC29AD" w14:textId="77777777" w:rsidR="00F71FFE" w:rsidRPr="003C4245" w:rsidRDefault="00F71FFE" w:rsidP="00F71FFE">
      <w:pPr>
        <w:tabs>
          <w:tab w:val="left" w:pos="1134"/>
        </w:tabs>
        <w:spacing w:after="0" w:line="360" w:lineRule="auto"/>
        <w:ind w:left="-284" w:firstLine="710"/>
        <w:jc w:val="right"/>
        <w:rPr>
          <w:rFonts w:ascii="Times New Roman" w:hAnsi="Times New Roman" w:cs="Times New Roman"/>
          <w:b/>
          <w:bCs/>
          <w:sz w:val="24"/>
          <w:szCs w:val="24"/>
          <w:lang w:val="ro-RO"/>
        </w:rPr>
      </w:pPr>
      <w:r w:rsidRPr="003C4245">
        <w:rPr>
          <w:noProof/>
        </w:rPr>
        <w:drawing>
          <wp:anchor distT="0" distB="0" distL="114300" distR="114300" simplePos="0" relativeHeight="251661312" behindDoc="0" locked="0" layoutInCell="1" allowOverlap="1" wp14:anchorId="6D5B084E" wp14:editId="585A7878">
            <wp:simplePos x="0" y="0"/>
            <wp:positionH relativeFrom="column">
              <wp:posOffset>3017520</wp:posOffset>
            </wp:positionH>
            <wp:positionV relativeFrom="paragraph">
              <wp:posOffset>134620</wp:posOffset>
            </wp:positionV>
            <wp:extent cx="677545" cy="914400"/>
            <wp:effectExtent l="0" t="0" r="8255" b="0"/>
            <wp:wrapSquare wrapText="right"/>
            <wp:docPr id="2" name="Picture 2" descr="Stema Romaniei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ema Romaniei 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677545" cy="914400"/>
                    </a:xfrm>
                    <a:prstGeom prst="rect">
                      <a:avLst/>
                    </a:prstGeom>
                    <a:noFill/>
                  </pic:spPr>
                </pic:pic>
              </a:graphicData>
            </a:graphic>
          </wp:anchor>
        </w:drawing>
      </w:r>
      <w:r w:rsidRPr="003C4245">
        <w:t xml:space="preserve"> </w:t>
      </w:r>
    </w:p>
    <w:p w14:paraId="3E079D9A" w14:textId="77777777" w:rsidR="00F71FFE" w:rsidRPr="003C4245" w:rsidRDefault="00F71FFE" w:rsidP="00F71FFE">
      <w:pPr>
        <w:tabs>
          <w:tab w:val="left" w:pos="1134"/>
        </w:tabs>
        <w:spacing w:after="0" w:line="360" w:lineRule="auto"/>
        <w:ind w:left="-284" w:firstLine="710"/>
        <w:jc w:val="right"/>
        <w:rPr>
          <w:rFonts w:ascii="Times New Roman" w:hAnsi="Times New Roman" w:cs="Times New Roman"/>
          <w:b/>
          <w:bCs/>
          <w:sz w:val="24"/>
          <w:szCs w:val="24"/>
          <w:lang w:val="ro-RO"/>
        </w:rPr>
      </w:pPr>
    </w:p>
    <w:p w14:paraId="4535E8EC" w14:textId="77777777" w:rsidR="00F71FFE" w:rsidRPr="003C4245" w:rsidRDefault="00F71FFE" w:rsidP="00F71FFE">
      <w:pPr>
        <w:tabs>
          <w:tab w:val="left" w:pos="1134"/>
        </w:tabs>
        <w:spacing w:after="0" w:line="360" w:lineRule="auto"/>
        <w:ind w:left="-284" w:firstLine="710"/>
        <w:jc w:val="right"/>
        <w:rPr>
          <w:rFonts w:ascii="Times New Roman" w:hAnsi="Times New Roman" w:cs="Times New Roman"/>
          <w:b/>
          <w:bCs/>
          <w:sz w:val="24"/>
          <w:szCs w:val="24"/>
          <w:lang w:val="ro-RO"/>
        </w:rPr>
      </w:pPr>
    </w:p>
    <w:p w14:paraId="4035869E" w14:textId="77777777" w:rsidR="00F71FFE" w:rsidRPr="003C4245" w:rsidRDefault="00F71FFE" w:rsidP="00F71FFE">
      <w:pPr>
        <w:tabs>
          <w:tab w:val="left" w:pos="1134"/>
        </w:tabs>
        <w:spacing w:after="0" w:line="240" w:lineRule="auto"/>
        <w:ind w:left="-284" w:firstLine="710"/>
        <w:rPr>
          <w:rFonts w:ascii="Times New Roman" w:hAnsi="Times New Roman" w:cs="Times New Roman"/>
          <w:b/>
          <w:bCs/>
          <w:sz w:val="24"/>
          <w:szCs w:val="24"/>
          <w:lang w:val="ro-RO"/>
        </w:rPr>
      </w:pPr>
    </w:p>
    <w:p w14:paraId="607A2FEA" w14:textId="77777777" w:rsidR="00F71FFE" w:rsidRPr="003C4245" w:rsidRDefault="00F71FFE" w:rsidP="00F71FFE">
      <w:pPr>
        <w:tabs>
          <w:tab w:val="left" w:pos="1134"/>
        </w:tabs>
        <w:spacing w:after="0" w:line="240" w:lineRule="auto"/>
        <w:ind w:left="-340" w:firstLine="710"/>
        <w:jc w:val="center"/>
        <w:rPr>
          <w:rFonts w:ascii="Times New Roman" w:hAnsi="Times New Roman" w:cs="Times New Roman"/>
          <w:b/>
          <w:bCs/>
          <w:sz w:val="24"/>
          <w:szCs w:val="24"/>
          <w:lang w:val="ro-RO"/>
        </w:rPr>
      </w:pPr>
    </w:p>
    <w:p w14:paraId="4A8D2004" w14:textId="77777777" w:rsidR="00F71FFE" w:rsidRPr="003C4245" w:rsidRDefault="00F71FFE" w:rsidP="00F71FFE">
      <w:pPr>
        <w:tabs>
          <w:tab w:val="left" w:pos="1134"/>
        </w:tabs>
        <w:spacing w:after="0" w:line="240" w:lineRule="auto"/>
        <w:ind w:left="-340" w:firstLine="710"/>
        <w:jc w:val="center"/>
        <w:rPr>
          <w:rFonts w:ascii="Times New Roman" w:hAnsi="Times New Roman" w:cs="Times New Roman"/>
          <w:b/>
          <w:bCs/>
          <w:sz w:val="24"/>
          <w:szCs w:val="24"/>
          <w:lang w:val="ro-RO"/>
        </w:rPr>
      </w:pPr>
    </w:p>
    <w:p w14:paraId="23120489" w14:textId="77777777" w:rsidR="00F71FFE" w:rsidRPr="003C4245" w:rsidRDefault="00F71FFE" w:rsidP="00F71FFE">
      <w:pPr>
        <w:tabs>
          <w:tab w:val="left" w:pos="1134"/>
        </w:tabs>
        <w:spacing w:after="0" w:line="240" w:lineRule="auto"/>
        <w:ind w:left="-340" w:firstLine="340"/>
        <w:jc w:val="center"/>
        <w:rPr>
          <w:rFonts w:ascii="Times New Roman" w:hAnsi="Times New Roman" w:cs="Times New Roman"/>
          <w:b/>
          <w:bCs/>
          <w:sz w:val="24"/>
          <w:szCs w:val="24"/>
          <w:lang w:val="ro-RO"/>
        </w:rPr>
      </w:pPr>
      <w:r w:rsidRPr="003C4245">
        <w:rPr>
          <w:rFonts w:ascii="Times New Roman" w:hAnsi="Times New Roman" w:cs="Times New Roman"/>
          <w:b/>
          <w:bCs/>
          <w:sz w:val="24"/>
          <w:szCs w:val="24"/>
          <w:lang w:val="ro-RO"/>
        </w:rPr>
        <w:t>ORDONANŢĂ DE URGENŢĂ</w:t>
      </w:r>
    </w:p>
    <w:p w14:paraId="0544AF66" w14:textId="77777777" w:rsidR="00F71FFE" w:rsidRPr="003C4245" w:rsidRDefault="00F71FFE" w:rsidP="00F71FFE">
      <w:pPr>
        <w:tabs>
          <w:tab w:val="left" w:pos="1134"/>
        </w:tabs>
        <w:spacing w:after="0" w:line="240" w:lineRule="auto"/>
        <w:ind w:left="-340" w:firstLine="710"/>
        <w:jc w:val="center"/>
        <w:rPr>
          <w:rFonts w:ascii="Times New Roman" w:hAnsi="Times New Roman" w:cs="Times New Roman"/>
          <w:b/>
          <w:bCs/>
          <w:sz w:val="24"/>
          <w:szCs w:val="24"/>
          <w:lang w:val="ro-RO"/>
        </w:rPr>
      </w:pPr>
    </w:p>
    <w:p w14:paraId="3709954D" w14:textId="77777777" w:rsidR="00F71FFE" w:rsidRPr="003C4245" w:rsidRDefault="00F71FFE" w:rsidP="00F71FFE">
      <w:pPr>
        <w:tabs>
          <w:tab w:val="left" w:pos="1134"/>
        </w:tabs>
        <w:spacing w:after="0" w:line="240" w:lineRule="auto"/>
        <w:ind w:left="-340" w:firstLine="710"/>
        <w:jc w:val="center"/>
        <w:rPr>
          <w:rFonts w:ascii="Times New Roman" w:hAnsi="Times New Roman" w:cs="Times New Roman"/>
          <w:b/>
          <w:sz w:val="24"/>
          <w:szCs w:val="24"/>
          <w:lang w:val="ro-RO"/>
        </w:rPr>
      </w:pPr>
      <w:r w:rsidRPr="003C4245">
        <w:rPr>
          <w:rFonts w:ascii="Times New Roman" w:hAnsi="Times New Roman" w:cs="Times New Roman"/>
          <w:b/>
          <w:sz w:val="24"/>
          <w:szCs w:val="24"/>
          <w:lang w:val="ro-RO"/>
        </w:rPr>
        <w:t>privind unele măsuri în vederea protejării consumatorului final în ceea ce privește utilizarea materialelor lemnoase și</w:t>
      </w:r>
      <w:r w:rsidRPr="003C4245">
        <w:rPr>
          <w:rFonts w:ascii="Times New Roman" w:hAnsi="Times New Roman" w:cs="Times New Roman"/>
          <w:sz w:val="24"/>
          <w:szCs w:val="24"/>
          <w:lang w:val="ro-RO"/>
        </w:rPr>
        <w:t xml:space="preserve"> </w:t>
      </w:r>
      <w:r w:rsidRPr="003C4245">
        <w:rPr>
          <w:rFonts w:ascii="Times New Roman" w:hAnsi="Times New Roman" w:cs="Times New Roman"/>
          <w:b/>
          <w:bCs/>
          <w:sz w:val="24"/>
          <w:szCs w:val="24"/>
          <w:lang w:val="ro-RO"/>
        </w:rPr>
        <w:t>a produselor derivate din lemn</w:t>
      </w:r>
      <w:r w:rsidRPr="003C4245">
        <w:rPr>
          <w:rFonts w:ascii="Times New Roman" w:hAnsi="Times New Roman" w:cs="Times New Roman"/>
          <w:b/>
          <w:sz w:val="24"/>
          <w:szCs w:val="24"/>
          <w:lang w:val="ro-RO"/>
        </w:rPr>
        <w:t xml:space="preserve">, pentru încălzirea locuinței în sezonul rece </w:t>
      </w:r>
    </w:p>
    <w:p w14:paraId="05B17C20" w14:textId="77777777" w:rsidR="00F71FFE" w:rsidRPr="003C4245" w:rsidRDefault="00F71FFE" w:rsidP="00F71FFE">
      <w:pPr>
        <w:tabs>
          <w:tab w:val="left" w:pos="1134"/>
        </w:tabs>
        <w:spacing w:after="0" w:line="240" w:lineRule="auto"/>
        <w:ind w:left="-340" w:firstLine="710"/>
        <w:jc w:val="both"/>
        <w:rPr>
          <w:rStyle w:val="spar"/>
          <w:rFonts w:ascii="Times New Roman" w:hAnsi="Times New Roman" w:cs="Times New Roman"/>
          <w:sz w:val="24"/>
          <w:szCs w:val="24"/>
          <w:shd w:val="clear" w:color="auto" w:fill="FFFFFF"/>
          <w:lang w:val="ro-RO"/>
        </w:rPr>
      </w:pPr>
      <w:r w:rsidRPr="003C4245">
        <w:rPr>
          <w:rFonts w:ascii="Times New Roman" w:eastAsia="Times New Roman" w:hAnsi="Times New Roman" w:cs="Times New Roman"/>
          <w:sz w:val="24"/>
          <w:szCs w:val="24"/>
          <w:shd w:val="clear" w:color="auto" w:fill="FFFFFF"/>
          <w:lang w:val="ro-RO"/>
        </w:rPr>
        <w:br/>
      </w:r>
    </w:p>
    <w:p w14:paraId="04F3803D" w14:textId="77777777" w:rsidR="00F71FFE" w:rsidRPr="003C4245" w:rsidRDefault="00F71FFE" w:rsidP="00F71FFE">
      <w:pPr>
        <w:pStyle w:val="Default"/>
        <w:tabs>
          <w:tab w:val="left" w:pos="1134"/>
        </w:tabs>
        <w:ind w:firstLine="710"/>
        <w:jc w:val="both"/>
        <w:rPr>
          <w:rFonts w:eastAsia="Times New Roman"/>
          <w:color w:val="auto"/>
          <w:lang w:val="ro-RO"/>
        </w:rPr>
      </w:pPr>
      <w:r w:rsidRPr="003C4245">
        <w:rPr>
          <w:rFonts w:eastAsia="Times New Roman"/>
          <w:color w:val="auto"/>
          <w:lang w:val="ro-RO"/>
        </w:rPr>
        <w:t xml:space="preserve">În contextul crizei energetice pe care o traversează Europa, precum și a perspectivelor pe termen scurt </w:t>
      </w:r>
      <w:proofErr w:type="spellStart"/>
      <w:r w:rsidRPr="003C4245">
        <w:rPr>
          <w:rFonts w:eastAsia="Times New Roman"/>
          <w:color w:val="auto"/>
          <w:lang w:val="ro-RO"/>
        </w:rPr>
        <w:t>şi</w:t>
      </w:r>
      <w:proofErr w:type="spellEnd"/>
      <w:r w:rsidRPr="003C4245">
        <w:rPr>
          <w:rFonts w:eastAsia="Times New Roman"/>
          <w:color w:val="auto"/>
          <w:lang w:val="ro-RO"/>
        </w:rPr>
        <w:t xml:space="preserve"> mediu, se constată o serie de creșteri artificiale ale prețurilor la lemnul de foc </w:t>
      </w:r>
      <w:proofErr w:type="spellStart"/>
      <w:r w:rsidRPr="003C4245">
        <w:rPr>
          <w:rFonts w:eastAsia="Times New Roman"/>
          <w:color w:val="auto"/>
          <w:lang w:val="ro-RO"/>
        </w:rPr>
        <w:t>şi</w:t>
      </w:r>
      <w:proofErr w:type="spellEnd"/>
      <w:r w:rsidRPr="003C4245">
        <w:rPr>
          <w:rFonts w:eastAsia="Times New Roman"/>
          <w:color w:val="auto"/>
          <w:lang w:val="ro-RO"/>
        </w:rPr>
        <w:t xml:space="preserve"> a produselor derivate pentru încălzire. </w:t>
      </w:r>
    </w:p>
    <w:p w14:paraId="0C8B68DF" w14:textId="77777777" w:rsidR="00F71FFE" w:rsidRPr="003C4245" w:rsidRDefault="00F71FFE" w:rsidP="00F71FFE">
      <w:pPr>
        <w:pStyle w:val="Default"/>
        <w:tabs>
          <w:tab w:val="left" w:pos="1134"/>
        </w:tabs>
        <w:ind w:firstLine="710"/>
        <w:jc w:val="both"/>
        <w:rPr>
          <w:rFonts w:eastAsia="Times New Roman"/>
          <w:color w:val="auto"/>
          <w:lang w:val="ro-RO"/>
        </w:rPr>
      </w:pPr>
      <w:r w:rsidRPr="003C4245">
        <w:rPr>
          <w:rFonts w:eastAsia="Times New Roman"/>
          <w:color w:val="auto"/>
          <w:lang w:val="ro-RO"/>
        </w:rPr>
        <w:t xml:space="preserve">În România, peste 3 milioane de gospodării se încălzesc cu lemn de foc sau cu produse derivate din lemn, în contextul în care în mediul rural, numărul de gospodării în care se utilizează lemnul de foc drept mijloc de încălzire este de peste 2,5 milioane de gospodării </w:t>
      </w:r>
      <w:proofErr w:type="spellStart"/>
      <w:r w:rsidRPr="003C4245">
        <w:rPr>
          <w:rFonts w:eastAsia="Times New Roman"/>
          <w:color w:val="auto"/>
          <w:lang w:val="ro-RO"/>
        </w:rPr>
        <w:t>şi</w:t>
      </w:r>
      <w:proofErr w:type="spellEnd"/>
      <w:r w:rsidRPr="003C4245">
        <w:rPr>
          <w:rFonts w:eastAsia="Times New Roman"/>
          <w:color w:val="auto"/>
          <w:lang w:val="ro-RO"/>
        </w:rPr>
        <w:t xml:space="preserve"> constituie 85,00% din gospodăriile înregistrate în mediul rural, gospodării din mediul rural cu venituri sub media națională. </w:t>
      </w:r>
    </w:p>
    <w:p w14:paraId="5B42FC24" w14:textId="77777777" w:rsidR="00F71FFE" w:rsidRPr="003C4245" w:rsidRDefault="00F71FFE" w:rsidP="00F71FFE">
      <w:pPr>
        <w:pStyle w:val="Default"/>
        <w:tabs>
          <w:tab w:val="left" w:pos="1134"/>
        </w:tabs>
        <w:ind w:firstLine="710"/>
        <w:jc w:val="both"/>
        <w:rPr>
          <w:rFonts w:eastAsia="Times New Roman"/>
          <w:color w:val="auto"/>
          <w:lang w:val="ro-RO"/>
        </w:rPr>
      </w:pPr>
      <w:r w:rsidRPr="003C4245">
        <w:rPr>
          <w:rFonts w:eastAsia="Times New Roman"/>
          <w:color w:val="auto"/>
          <w:lang w:val="ro-RO"/>
        </w:rPr>
        <w:t xml:space="preserve">Având în vedere faptul că încălzirea pentru </w:t>
      </w:r>
      <w:proofErr w:type="spellStart"/>
      <w:r w:rsidRPr="003C4245">
        <w:rPr>
          <w:rFonts w:eastAsia="Times New Roman"/>
          <w:color w:val="auto"/>
          <w:lang w:val="ro-RO"/>
        </w:rPr>
        <w:t>populaţie</w:t>
      </w:r>
      <w:proofErr w:type="spellEnd"/>
      <w:r w:rsidRPr="003C4245">
        <w:rPr>
          <w:rFonts w:eastAsia="Times New Roman"/>
          <w:color w:val="auto"/>
          <w:lang w:val="ro-RO"/>
        </w:rPr>
        <w:t xml:space="preserve"> reprezintă o necesitate de </w:t>
      </w:r>
      <w:proofErr w:type="spellStart"/>
      <w:r w:rsidRPr="003C4245">
        <w:rPr>
          <w:rFonts w:eastAsia="Times New Roman"/>
          <w:color w:val="auto"/>
          <w:lang w:val="ro-RO"/>
        </w:rPr>
        <w:t>viaţă</w:t>
      </w:r>
      <w:proofErr w:type="spellEnd"/>
      <w:r w:rsidRPr="003C4245">
        <w:rPr>
          <w:rFonts w:eastAsia="Times New Roman"/>
          <w:color w:val="auto"/>
          <w:lang w:val="ro-RO"/>
        </w:rPr>
        <w:t xml:space="preserve">,  se impune  instituirea unor măsuri de protecție socială în considerarea necesității asigurării garanției respectării dreptului la viață raportat la faptul că încălzirea pentru </w:t>
      </w:r>
      <w:proofErr w:type="spellStart"/>
      <w:r w:rsidRPr="003C4245">
        <w:rPr>
          <w:rFonts w:eastAsia="Times New Roman"/>
          <w:color w:val="auto"/>
          <w:lang w:val="ro-RO"/>
        </w:rPr>
        <w:t>populaţie</w:t>
      </w:r>
      <w:proofErr w:type="spellEnd"/>
      <w:r w:rsidRPr="003C4245">
        <w:rPr>
          <w:rFonts w:eastAsia="Times New Roman"/>
          <w:color w:val="auto"/>
          <w:lang w:val="ro-RO"/>
        </w:rPr>
        <w:t xml:space="preserve">, respectiv atunci când categorii întregi de </w:t>
      </w:r>
      <w:proofErr w:type="spellStart"/>
      <w:r w:rsidRPr="003C4245">
        <w:rPr>
          <w:rFonts w:eastAsia="Times New Roman"/>
          <w:color w:val="auto"/>
          <w:lang w:val="ro-RO"/>
        </w:rPr>
        <w:t>cetăţeni</w:t>
      </w:r>
      <w:proofErr w:type="spellEnd"/>
      <w:r w:rsidRPr="003C4245">
        <w:rPr>
          <w:rFonts w:eastAsia="Times New Roman"/>
          <w:color w:val="auto"/>
          <w:lang w:val="ro-RO"/>
        </w:rPr>
        <w:t xml:space="preserve"> riscă să fie afectate de </w:t>
      </w:r>
      <w:proofErr w:type="spellStart"/>
      <w:r w:rsidRPr="003C4245">
        <w:rPr>
          <w:rFonts w:eastAsia="Times New Roman"/>
          <w:color w:val="auto"/>
          <w:lang w:val="ro-RO"/>
        </w:rPr>
        <w:t>creşteri</w:t>
      </w:r>
      <w:proofErr w:type="spellEnd"/>
      <w:r w:rsidRPr="003C4245">
        <w:rPr>
          <w:rFonts w:eastAsia="Times New Roman"/>
          <w:color w:val="auto"/>
          <w:lang w:val="ro-RO"/>
        </w:rPr>
        <w:t xml:space="preserve"> de </w:t>
      </w:r>
      <w:proofErr w:type="spellStart"/>
      <w:r w:rsidRPr="003C4245">
        <w:rPr>
          <w:rFonts w:eastAsia="Times New Roman"/>
          <w:color w:val="auto"/>
          <w:lang w:val="ro-RO"/>
        </w:rPr>
        <w:t>preţ</w:t>
      </w:r>
      <w:proofErr w:type="spellEnd"/>
      <w:r w:rsidRPr="003C4245">
        <w:rPr>
          <w:rFonts w:eastAsia="Times New Roman"/>
          <w:color w:val="auto"/>
          <w:lang w:val="ro-RO"/>
        </w:rPr>
        <w:t xml:space="preserve"> nejustificate, în </w:t>
      </w:r>
      <w:proofErr w:type="spellStart"/>
      <w:r w:rsidRPr="003C4245">
        <w:rPr>
          <w:rFonts w:eastAsia="Times New Roman"/>
          <w:color w:val="auto"/>
          <w:lang w:val="ro-RO"/>
        </w:rPr>
        <w:t>situaţii</w:t>
      </w:r>
      <w:proofErr w:type="spellEnd"/>
      <w:r w:rsidRPr="003C4245">
        <w:rPr>
          <w:rFonts w:eastAsia="Times New Roman"/>
          <w:color w:val="auto"/>
          <w:lang w:val="ro-RO"/>
        </w:rPr>
        <w:t xml:space="preserve"> speciale </w:t>
      </w:r>
      <w:proofErr w:type="spellStart"/>
      <w:r w:rsidRPr="003C4245">
        <w:rPr>
          <w:rFonts w:eastAsia="Times New Roman"/>
          <w:color w:val="auto"/>
          <w:lang w:val="ro-RO"/>
        </w:rPr>
        <w:t>şi</w:t>
      </w:r>
      <w:proofErr w:type="spellEnd"/>
      <w:r w:rsidRPr="003C4245">
        <w:rPr>
          <w:rFonts w:eastAsia="Times New Roman"/>
          <w:color w:val="auto"/>
          <w:lang w:val="ro-RO"/>
        </w:rPr>
        <w:t xml:space="preserve"> pe perioade limitate de timp, statul are datoria și obligația să intervină </w:t>
      </w:r>
      <w:proofErr w:type="spellStart"/>
      <w:r w:rsidRPr="003C4245">
        <w:rPr>
          <w:rFonts w:eastAsia="Times New Roman"/>
          <w:color w:val="auto"/>
          <w:lang w:val="ro-RO"/>
        </w:rPr>
        <w:t>şi</w:t>
      </w:r>
      <w:proofErr w:type="spellEnd"/>
      <w:r w:rsidRPr="003C4245">
        <w:rPr>
          <w:rFonts w:eastAsia="Times New Roman"/>
          <w:color w:val="auto"/>
          <w:lang w:val="ro-RO"/>
        </w:rPr>
        <w:t xml:space="preserve"> să blocheze posibilitatea </w:t>
      </w:r>
      <w:proofErr w:type="spellStart"/>
      <w:r w:rsidRPr="003C4245">
        <w:rPr>
          <w:rFonts w:eastAsia="Times New Roman"/>
          <w:color w:val="auto"/>
          <w:lang w:val="ro-RO"/>
        </w:rPr>
        <w:t>apariţiei</w:t>
      </w:r>
      <w:proofErr w:type="spellEnd"/>
      <w:r w:rsidRPr="003C4245">
        <w:rPr>
          <w:rFonts w:eastAsia="Times New Roman"/>
          <w:color w:val="auto"/>
          <w:lang w:val="ro-RO"/>
        </w:rPr>
        <w:t xml:space="preserve"> unor astfel de </w:t>
      </w:r>
      <w:proofErr w:type="spellStart"/>
      <w:r w:rsidRPr="003C4245">
        <w:rPr>
          <w:rFonts w:eastAsia="Times New Roman"/>
          <w:color w:val="auto"/>
          <w:lang w:val="ro-RO"/>
        </w:rPr>
        <w:t>situaţii</w:t>
      </w:r>
      <w:proofErr w:type="spellEnd"/>
      <w:r w:rsidRPr="003C4245">
        <w:rPr>
          <w:rFonts w:eastAsia="Times New Roman"/>
          <w:color w:val="auto"/>
          <w:lang w:val="ro-RO"/>
        </w:rPr>
        <w:t>.</w:t>
      </w:r>
    </w:p>
    <w:p w14:paraId="33CFD5B5" w14:textId="77777777" w:rsidR="00F71FFE" w:rsidRPr="003C4245" w:rsidRDefault="00F71FFE" w:rsidP="00F71FFE">
      <w:pPr>
        <w:pStyle w:val="Default"/>
        <w:tabs>
          <w:tab w:val="left" w:pos="1134"/>
        </w:tabs>
        <w:ind w:firstLine="710"/>
        <w:jc w:val="both"/>
        <w:rPr>
          <w:rFonts w:eastAsia="Times New Roman"/>
          <w:color w:val="auto"/>
          <w:lang w:val="ro-RO"/>
        </w:rPr>
      </w:pPr>
      <w:r w:rsidRPr="003C4245">
        <w:rPr>
          <w:rFonts w:eastAsia="Times New Roman"/>
          <w:color w:val="auto"/>
          <w:lang w:val="ro-RO"/>
        </w:rPr>
        <w:t>De asemenea, ținând cont de decalajul înregistrat între veniturile populației față de media înregistrată în UE și având în vedere că acestea se situează sub media înregistrată în UE, nivelul de trai ajustat după prețurile practicate local, este de 72%, față de media UE.</w:t>
      </w:r>
    </w:p>
    <w:p w14:paraId="4746586B" w14:textId="77777777" w:rsidR="00F71FFE" w:rsidRPr="003C4245" w:rsidRDefault="00F71FFE" w:rsidP="00F71FFE">
      <w:pPr>
        <w:pStyle w:val="Default"/>
        <w:tabs>
          <w:tab w:val="left" w:pos="1134"/>
        </w:tabs>
        <w:ind w:firstLine="710"/>
        <w:jc w:val="both"/>
        <w:rPr>
          <w:rFonts w:eastAsia="Times New Roman"/>
          <w:color w:val="auto"/>
          <w:lang w:val="ro-RO"/>
        </w:rPr>
      </w:pPr>
      <w:r w:rsidRPr="003C4245">
        <w:rPr>
          <w:rFonts w:eastAsia="Times New Roman"/>
          <w:color w:val="auto"/>
          <w:lang w:val="ro-RO"/>
        </w:rPr>
        <w:t xml:space="preserve">Totodată, trebuie avut în vedere că pentru administratorii/deținătorii de fond forestier, producătorii de lemn de foc/masă lemnoasă cu destinația lemn de foc, produsul este unul secundar, iar costurile de producție constau în fracția aferentă de costuri legate de serviciile silvice din anul de producție și de costurile de recoltare. Acestea nu sunt semnificative și permit acestora să comercializeze lemnul de foc/masă lemnoasă cu destinația lemn de foc cu prețuri cuprinse între 60 lei/mc și 543 lei/mc. Însă în prezent, în rețelele de bricolaj/revânzători au fost înregistrate prețuri care depășesc 700 lei/mc. </w:t>
      </w:r>
    </w:p>
    <w:p w14:paraId="70BAEEA3" w14:textId="77777777" w:rsidR="00F71FFE" w:rsidRPr="003C4245" w:rsidRDefault="00F71FFE" w:rsidP="00F71FFE">
      <w:pPr>
        <w:pStyle w:val="Default"/>
        <w:tabs>
          <w:tab w:val="left" w:pos="1134"/>
        </w:tabs>
        <w:ind w:firstLine="710"/>
        <w:jc w:val="both"/>
        <w:rPr>
          <w:rFonts w:eastAsia="Times New Roman"/>
          <w:color w:val="auto"/>
          <w:lang w:val="ro-RO"/>
        </w:rPr>
      </w:pPr>
      <w:r w:rsidRPr="003C4245">
        <w:rPr>
          <w:rFonts w:eastAsia="Times New Roman"/>
          <w:color w:val="auto"/>
          <w:lang w:val="ro-RO"/>
        </w:rPr>
        <w:t xml:space="preserve">Luând în considerare beneficiul public generat de asigurarea unui nivel ridicat de </w:t>
      </w:r>
      <w:proofErr w:type="spellStart"/>
      <w:r w:rsidRPr="003C4245">
        <w:rPr>
          <w:rFonts w:eastAsia="Times New Roman"/>
          <w:color w:val="auto"/>
          <w:lang w:val="ro-RO"/>
        </w:rPr>
        <w:t>protecţie</w:t>
      </w:r>
      <w:proofErr w:type="spellEnd"/>
      <w:r w:rsidRPr="003C4245">
        <w:rPr>
          <w:rFonts w:eastAsia="Times New Roman"/>
          <w:color w:val="auto"/>
          <w:lang w:val="ro-RO"/>
        </w:rPr>
        <w:t xml:space="preserve"> a </w:t>
      </w:r>
      <w:proofErr w:type="spellStart"/>
      <w:r w:rsidRPr="003C4245">
        <w:rPr>
          <w:rFonts w:eastAsia="Times New Roman"/>
          <w:color w:val="auto"/>
          <w:lang w:val="ro-RO"/>
        </w:rPr>
        <w:t>vieţii</w:t>
      </w:r>
      <w:proofErr w:type="spellEnd"/>
      <w:r w:rsidRPr="003C4245">
        <w:rPr>
          <w:rFonts w:eastAsia="Times New Roman"/>
          <w:color w:val="auto"/>
          <w:lang w:val="ro-RO"/>
        </w:rPr>
        <w:t xml:space="preserve">, </w:t>
      </w:r>
      <w:proofErr w:type="spellStart"/>
      <w:r w:rsidRPr="003C4245">
        <w:rPr>
          <w:rFonts w:eastAsia="Times New Roman"/>
          <w:color w:val="auto"/>
          <w:lang w:val="ro-RO"/>
        </w:rPr>
        <w:t>sănătăţii</w:t>
      </w:r>
      <w:proofErr w:type="spellEnd"/>
      <w:r w:rsidRPr="003C4245">
        <w:rPr>
          <w:rFonts w:eastAsia="Times New Roman"/>
          <w:color w:val="auto"/>
          <w:lang w:val="ro-RO"/>
        </w:rPr>
        <w:t xml:space="preserve">, </w:t>
      </w:r>
      <w:proofErr w:type="spellStart"/>
      <w:r w:rsidRPr="003C4245">
        <w:rPr>
          <w:rFonts w:eastAsia="Times New Roman"/>
          <w:color w:val="auto"/>
          <w:lang w:val="ro-RO"/>
        </w:rPr>
        <w:t>securităţii</w:t>
      </w:r>
      <w:proofErr w:type="spellEnd"/>
      <w:r w:rsidRPr="003C4245">
        <w:rPr>
          <w:rFonts w:eastAsia="Times New Roman"/>
          <w:color w:val="auto"/>
          <w:lang w:val="ro-RO"/>
        </w:rPr>
        <w:t xml:space="preserve"> </w:t>
      </w:r>
      <w:proofErr w:type="spellStart"/>
      <w:r w:rsidRPr="003C4245">
        <w:rPr>
          <w:rFonts w:eastAsia="Times New Roman"/>
          <w:color w:val="auto"/>
          <w:lang w:val="ro-RO"/>
        </w:rPr>
        <w:t>şi</w:t>
      </w:r>
      <w:proofErr w:type="spellEnd"/>
      <w:r w:rsidRPr="003C4245">
        <w:rPr>
          <w:rFonts w:eastAsia="Times New Roman"/>
          <w:color w:val="auto"/>
          <w:lang w:val="ro-RO"/>
        </w:rPr>
        <w:t xml:space="preserve"> intereselor economice ale consumatorilor, precum </w:t>
      </w:r>
      <w:proofErr w:type="spellStart"/>
      <w:r w:rsidRPr="003C4245">
        <w:rPr>
          <w:rFonts w:eastAsia="Times New Roman"/>
          <w:color w:val="auto"/>
          <w:lang w:val="ro-RO"/>
        </w:rPr>
        <w:t>şi</w:t>
      </w:r>
      <w:proofErr w:type="spellEnd"/>
      <w:r w:rsidRPr="003C4245">
        <w:rPr>
          <w:rFonts w:eastAsia="Times New Roman"/>
          <w:color w:val="auto"/>
          <w:lang w:val="ro-RO"/>
        </w:rPr>
        <w:t xml:space="preserve"> crearea cadrului legal necesar pentru ca operatorii economici din domeniul comercializării masei lemnoase să fie </w:t>
      </w:r>
      <w:proofErr w:type="spellStart"/>
      <w:r w:rsidRPr="003C4245">
        <w:rPr>
          <w:rFonts w:eastAsia="Times New Roman"/>
          <w:color w:val="auto"/>
          <w:lang w:val="ro-RO"/>
        </w:rPr>
        <w:t>descurajaţi</w:t>
      </w:r>
      <w:proofErr w:type="spellEnd"/>
      <w:r w:rsidRPr="003C4245">
        <w:rPr>
          <w:rFonts w:eastAsia="Times New Roman"/>
          <w:color w:val="auto"/>
          <w:lang w:val="ro-RO"/>
        </w:rPr>
        <w:t xml:space="preserve"> a apela la practici incorecte,</w:t>
      </w:r>
    </w:p>
    <w:p w14:paraId="4E61E763" w14:textId="77777777" w:rsidR="00F71FFE" w:rsidRPr="003C4245" w:rsidRDefault="00F71FFE" w:rsidP="00F71FFE">
      <w:pPr>
        <w:pStyle w:val="Default"/>
        <w:tabs>
          <w:tab w:val="left" w:pos="1134"/>
        </w:tabs>
        <w:ind w:firstLine="710"/>
        <w:jc w:val="both"/>
        <w:rPr>
          <w:rFonts w:eastAsia="Times New Roman"/>
          <w:color w:val="auto"/>
          <w:lang w:val="ro-RO"/>
        </w:rPr>
      </w:pPr>
      <w:r w:rsidRPr="003C4245">
        <w:rPr>
          <w:rFonts w:eastAsia="Times New Roman"/>
          <w:color w:val="auto"/>
          <w:lang w:val="ro-RO"/>
        </w:rPr>
        <w:t xml:space="preserve">Ținând cont că este imperios necesară asigurarea unei discipline riguroase a comercializării lemnului de foc </w:t>
      </w:r>
      <w:proofErr w:type="spellStart"/>
      <w:r w:rsidRPr="003C4245">
        <w:rPr>
          <w:rFonts w:eastAsia="Times New Roman"/>
          <w:color w:val="auto"/>
          <w:lang w:val="ro-RO"/>
        </w:rPr>
        <w:t>şi</w:t>
      </w:r>
      <w:proofErr w:type="spellEnd"/>
      <w:r w:rsidRPr="003C4245">
        <w:rPr>
          <w:rFonts w:eastAsia="Times New Roman"/>
          <w:color w:val="auto"/>
          <w:lang w:val="ro-RO"/>
        </w:rPr>
        <w:t xml:space="preserve"> a produselor derivate pentru încălzire </w:t>
      </w:r>
      <w:proofErr w:type="spellStart"/>
      <w:r w:rsidRPr="003C4245">
        <w:rPr>
          <w:rFonts w:eastAsia="Times New Roman"/>
          <w:color w:val="auto"/>
          <w:lang w:val="ro-RO"/>
        </w:rPr>
        <w:t>şi</w:t>
      </w:r>
      <w:proofErr w:type="spellEnd"/>
      <w:r w:rsidRPr="003C4245">
        <w:rPr>
          <w:rFonts w:eastAsia="Times New Roman"/>
          <w:color w:val="auto"/>
          <w:lang w:val="ro-RO"/>
        </w:rPr>
        <w:t xml:space="preserve"> a unui înalt nivel de </w:t>
      </w:r>
      <w:proofErr w:type="spellStart"/>
      <w:r w:rsidRPr="003C4245">
        <w:rPr>
          <w:rFonts w:eastAsia="Times New Roman"/>
          <w:color w:val="auto"/>
          <w:lang w:val="ro-RO"/>
        </w:rPr>
        <w:t>protecţie</w:t>
      </w:r>
      <w:proofErr w:type="spellEnd"/>
      <w:r w:rsidRPr="003C4245">
        <w:rPr>
          <w:rFonts w:eastAsia="Times New Roman"/>
          <w:color w:val="auto"/>
          <w:lang w:val="ro-RO"/>
        </w:rPr>
        <w:t xml:space="preserve"> a </w:t>
      </w:r>
      <w:proofErr w:type="spellStart"/>
      <w:r w:rsidRPr="003C4245">
        <w:rPr>
          <w:rFonts w:eastAsia="Times New Roman"/>
          <w:color w:val="auto"/>
          <w:lang w:val="ro-RO"/>
        </w:rPr>
        <w:t>cetăţenilor</w:t>
      </w:r>
      <w:proofErr w:type="spellEnd"/>
      <w:r w:rsidRPr="003C4245">
        <w:rPr>
          <w:rFonts w:eastAsia="Times New Roman"/>
          <w:color w:val="auto"/>
          <w:lang w:val="ro-RO"/>
        </w:rPr>
        <w:t xml:space="preserve"> în calitatea lor de consumatori finali,</w:t>
      </w:r>
    </w:p>
    <w:p w14:paraId="1CF6AAB1" w14:textId="77777777" w:rsidR="00F71FFE" w:rsidRPr="003C4245" w:rsidRDefault="00F71FFE" w:rsidP="00F71FFE">
      <w:pPr>
        <w:pStyle w:val="Default"/>
        <w:tabs>
          <w:tab w:val="left" w:pos="1134"/>
        </w:tabs>
        <w:spacing w:after="160"/>
        <w:ind w:firstLine="710"/>
        <w:jc w:val="both"/>
        <w:rPr>
          <w:rStyle w:val="spar"/>
          <w:color w:val="000000" w:themeColor="text1"/>
          <w:shd w:val="clear" w:color="auto" w:fill="FFFFFF"/>
          <w:lang w:val="ro-RO"/>
        </w:rPr>
      </w:pPr>
      <w:r w:rsidRPr="003C4245">
        <w:rPr>
          <w:rStyle w:val="spar"/>
          <w:color w:val="000000" w:themeColor="text1"/>
          <w:shd w:val="clear" w:color="auto" w:fill="FFFFFF"/>
          <w:lang w:val="ro-RO"/>
        </w:rPr>
        <w:t xml:space="preserve">În considerarea </w:t>
      </w:r>
      <w:r w:rsidRPr="003C4245">
        <w:rPr>
          <w:color w:val="000000" w:themeColor="text1"/>
          <w:lang w:val="ro-RO"/>
        </w:rPr>
        <w:t xml:space="preserve">faptului că elementele mai sus menționate </w:t>
      </w:r>
      <w:r w:rsidRPr="003C4245">
        <w:rPr>
          <w:rStyle w:val="spar"/>
          <w:color w:val="000000" w:themeColor="text1"/>
          <w:shd w:val="clear" w:color="auto" w:fill="FFFFFF"/>
          <w:lang w:val="ro-RO"/>
        </w:rPr>
        <w:t xml:space="preserve">vizează interesul general public și constituie </w:t>
      </w:r>
      <w:r w:rsidRPr="003C4245">
        <w:rPr>
          <w:color w:val="000000" w:themeColor="text1"/>
          <w:lang w:val="ro-RO"/>
        </w:rPr>
        <w:t xml:space="preserve">situații de urgență și extraordinare a căror reglementare nu poate fi amânată, </w:t>
      </w:r>
    </w:p>
    <w:p w14:paraId="3DFF0717" w14:textId="77777777" w:rsidR="00F71FFE" w:rsidRPr="003C4245" w:rsidRDefault="00F71FFE" w:rsidP="00F71FFE">
      <w:pPr>
        <w:pStyle w:val="Default"/>
        <w:tabs>
          <w:tab w:val="left" w:pos="1134"/>
        </w:tabs>
        <w:spacing w:after="160"/>
        <w:ind w:left="-284" w:firstLine="710"/>
        <w:jc w:val="both"/>
        <w:rPr>
          <w:color w:val="000000" w:themeColor="text1"/>
          <w:shd w:val="clear" w:color="auto" w:fill="FFFFFF"/>
          <w:lang w:val="ro-RO"/>
        </w:rPr>
      </w:pPr>
      <w:r w:rsidRPr="003C4245">
        <w:rPr>
          <w:rStyle w:val="spar"/>
          <w:color w:val="000000" w:themeColor="text1"/>
          <w:shd w:val="clear" w:color="auto" w:fill="FFFFFF"/>
          <w:lang w:val="ro-RO"/>
        </w:rPr>
        <w:t xml:space="preserve">    În temeiul </w:t>
      </w:r>
      <w:hyperlink r:id="rId8" w:anchor="A635" w:history="1">
        <w:r w:rsidRPr="003C4245">
          <w:rPr>
            <w:rStyle w:val="Hyperlink"/>
            <w:color w:val="000000" w:themeColor="text1"/>
            <w:u w:val="none"/>
            <w:shd w:val="clear" w:color="auto" w:fill="FFFFFF"/>
            <w:lang w:val="ro-RO"/>
          </w:rPr>
          <w:t>art. 115 alin. (4) din Constituția României, republicată</w:t>
        </w:r>
      </w:hyperlink>
      <w:r w:rsidRPr="003C4245">
        <w:rPr>
          <w:rStyle w:val="spar"/>
          <w:color w:val="000000" w:themeColor="text1"/>
          <w:shd w:val="clear" w:color="auto" w:fill="FFFFFF"/>
          <w:lang w:val="ro-RO"/>
        </w:rPr>
        <w:t xml:space="preserve">, </w:t>
      </w:r>
    </w:p>
    <w:p w14:paraId="7BBFDF6F" w14:textId="77777777" w:rsidR="00F71FFE" w:rsidRPr="003C4245" w:rsidRDefault="00F71FFE" w:rsidP="00F71FFE">
      <w:pPr>
        <w:pStyle w:val="Default"/>
        <w:tabs>
          <w:tab w:val="left" w:pos="1134"/>
        </w:tabs>
        <w:spacing w:after="160"/>
        <w:ind w:firstLine="710"/>
        <w:jc w:val="both"/>
        <w:rPr>
          <w:rStyle w:val="spar"/>
          <w:color w:val="auto"/>
          <w:sz w:val="14"/>
          <w:szCs w:val="14"/>
          <w:shd w:val="clear" w:color="auto" w:fill="FFFFFF"/>
          <w:lang w:val="ro-RO"/>
        </w:rPr>
      </w:pPr>
    </w:p>
    <w:p w14:paraId="0AEB9C9D" w14:textId="77777777" w:rsidR="00F71FFE" w:rsidRPr="003C4245" w:rsidRDefault="00F71FFE" w:rsidP="00F71FFE">
      <w:pPr>
        <w:pStyle w:val="Default"/>
        <w:tabs>
          <w:tab w:val="left" w:pos="1134"/>
        </w:tabs>
        <w:jc w:val="both"/>
        <w:rPr>
          <w:rStyle w:val="spar"/>
          <w:color w:val="auto"/>
          <w:shd w:val="clear" w:color="auto" w:fill="FFFFFF"/>
          <w:lang w:val="ro-RO"/>
        </w:rPr>
      </w:pPr>
      <w:r w:rsidRPr="003C4245">
        <w:rPr>
          <w:rStyle w:val="spar"/>
          <w:b/>
          <w:color w:val="auto"/>
          <w:shd w:val="clear" w:color="auto" w:fill="FFFFFF"/>
          <w:lang w:val="ro-RO"/>
        </w:rPr>
        <w:t>Guvernul României</w:t>
      </w:r>
      <w:r w:rsidRPr="003C4245">
        <w:rPr>
          <w:rStyle w:val="spar"/>
          <w:color w:val="auto"/>
          <w:shd w:val="clear" w:color="auto" w:fill="FFFFFF"/>
          <w:lang w:val="ro-RO"/>
        </w:rPr>
        <w:t xml:space="preserve"> adoptă prezenta ordonanță de urgență: </w:t>
      </w:r>
    </w:p>
    <w:p w14:paraId="0BE3ED1C" w14:textId="77777777" w:rsidR="00F71FFE" w:rsidRPr="003C4245" w:rsidRDefault="00F71FFE" w:rsidP="00F71FFE">
      <w:pPr>
        <w:pStyle w:val="Default"/>
        <w:tabs>
          <w:tab w:val="left" w:pos="1134"/>
        </w:tabs>
        <w:ind w:firstLine="426"/>
        <w:jc w:val="both"/>
        <w:rPr>
          <w:rStyle w:val="spar"/>
          <w:color w:val="auto"/>
          <w:shd w:val="clear" w:color="auto" w:fill="FFFFFF"/>
          <w:lang w:val="ro-RO"/>
        </w:rPr>
      </w:pPr>
    </w:p>
    <w:p w14:paraId="420BF5E2" w14:textId="77777777" w:rsidR="00F71FFE" w:rsidRPr="003C4245" w:rsidRDefault="00F71FFE" w:rsidP="00F71FFE">
      <w:pPr>
        <w:tabs>
          <w:tab w:val="left" w:pos="1134"/>
        </w:tabs>
        <w:spacing w:after="0" w:line="240" w:lineRule="auto"/>
        <w:ind w:firstLine="426"/>
        <w:jc w:val="both"/>
        <w:rPr>
          <w:rFonts w:ascii="Times New Roman" w:hAnsi="Times New Roman" w:cs="Times New Roman"/>
          <w:sz w:val="24"/>
          <w:szCs w:val="24"/>
          <w:lang w:val="ro-RO"/>
        </w:rPr>
      </w:pPr>
      <w:r w:rsidRPr="003C4245">
        <w:rPr>
          <w:rFonts w:ascii="Times New Roman" w:hAnsi="Times New Roman" w:cs="Times New Roman"/>
          <w:b/>
          <w:bCs/>
          <w:sz w:val="24"/>
          <w:szCs w:val="24"/>
          <w:lang w:val="ro-RO"/>
        </w:rPr>
        <w:t xml:space="preserve">Art. 1 </w:t>
      </w:r>
      <w:r w:rsidRPr="003C4245">
        <w:rPr>
          <w:rStyle w:val="l5def1"/>
          <w:rFonts w:ascii="Times New Roman" w:hAnsi="Times New Roman" w:cs="Times New Roman"/>
          <w:b/>
          <w:bCs/>
          <w:sz w:val="24"/>
          <w:szCs w:val="24"/>
          <w:lang w:val="ro-RO"/>
        </w:rPr>
        <w:t>- (1)</w:t>
      </w:r>
      <w:r w:rsidRPr="003C4245">
        <w:rPr>
          <w:rFonts w:ascii="Times New Roman" w:hAnsi="Times New Roman" w:cs="Times New Roman"/>
          <w:b/>
          <w:bCs/>
          <w:sz w:val="24"/>
          <w:szCs w:val="24"/>
          <w:lang w:val="ro-RO"/>
        </w:rPr>
        <w:t xml:space="preserve"> </w:t>
      </w:r>
      <w:r w:rsidRPr="003C4245">
        <w:rPr>
          <w:rFonts w:ascii="Times New Roman" w:hAnsi="Times New Roman" w:cs="Times New Roman"/>
          <w:sz w:val="24"/>
          <w:szCs w:val="24"/>
          <w:lang w:val="ro-RO"/>
        </w:rPr>
        <w:t xml:space="preserve">Prețurile finale facturate se plafonează la maxim 500 lei/mc cu TVA inclus pentru următoarele </w:t>
      </w:r>
      <w:proofErr w:type="spellStart"/>
      <w:r w:rsidRPr="003C4245">
        <w:rPr>
          <w:rFonts w:ascii="Times New Roman" w:hAnsi="Times New Roman" w:cs="Times New Roman"/>
          <w:sz w:val="24"/>
          <w:szCs w:val="24"/>
        </w:rPr>
        <w:t>sortimente</w:t>
      </w:r>
      <w:proofErr w:type="spellEnd"/>
      <w:r w:rsidRPr="003C4245">
        <w:rPr>
          <w:rFonts w:ascii="Times New Roman" w:hAnsi="Times New Roman" w:cs="Times New Roman"/>
          <w:sz w:val="24"/>
          <w:szCs w:val="24"/>
        </w:rPr>
        <w:t xml:space="preserve"> de </w:t>
      </w:r>
      <w:proofErr w:type="spellStart"/>
      <w:r w:rsidRPr="003C4245">
        <w:rPr>
          <w:rFonts w:ascii="Times New Roman" w:hAnsi="Times New Roman" w:cs="Times New Roman"/>
          <w:sz w:val="24"/>
          <w:szCs w:val="24"/>
        </w:rPr>
        <w:t>materiale</w:t>
      </w:r>
      <w:proofErr w:type="spellEnd"/>
      <w:r w:rsidRPr="003C4245">
        <w:rPr>
          <w:rFonts w:ascii="Times New Roman" w:hAnsi="Times New Roman" w:cs="Times New Roman"/>
          <w:sz w:val="24"/>
          <w:szCs w:val="24"/>
        </w:rPr>
        <w:t xml:space="preserve"> </w:t>
      </w:r>
      <w:proofErr w:type="spellStart"/>
      <w:r w:rsidRPr="003C4245">
        <w:rPr>
          <w:rFonts w:ascii="Times New Roman" w:hAnsi="Times New Roman" w:cs="Times New Roman"/>
          <w:sz w:val="24"/>
          <w:szCs w:val="24"/>
        </w:rPr>
        <w:t>lemnoase</w:t>
      </w:r>
      <w:proofErr w:type="spellEnd"/>
      <w:r w:rsidRPr="003C4245">
        <w:rPr>
          <w:rFonts w:ascii="Times New Roman" w:hAnsi="Times New Roman" w:cs="Times New Roman"/>
          <w:sz w:val="24"/>
          <w:szCs w:val="24"/>
          <w:lang w:val="ro-RO"/>
        </w:rPr>
        <w:t xml:space="preserve">, necesare pentru încălzire în sezonul rece: </w:t>
      </w:r>
    </w:p>
    <w:p w14:paraId="5FE4A71B" w14:textId="77777777" w:rsidR="00F71FFE" w:rsidRPr="003C4245" w:rsidRDefault="00F71FFE" w:rsidP="00F71FFE">
      <w:pPr>
        <w:tabs>
          <w:tab w:val="left" w:pos="1134"/>
        </w:tabs>
        <w:spacing w:after="0" w:line="240" w:lineRule="auto"/>
        <w:ind w:firstLine="426"/>
        <w:jc w:val="both"/>
        <w:rPr>
          <w:rFonts w:ascii="Times New Roman" w:hAnsi="Times New Roman" w:cs="Times New Roman"/>
          <w:sz w:val="24"/>
          <w:szCs w:val="24"/>
          <w:lang w:val="ro-RO"/>
        </w:rPr>
      </w:pPr>
      <w:r w:rsidRPr="003C4245">
        <w:rPr>
          <w:rFonts w:ascii="Times New Roman" w:hAnsi="Times New Roman" w:cs="Times New Roman"/>
          <w:sz w:val="24"/>
          <w:szCs w:val="24"/>
          <w:lang w:val="ro-RO"/>
        </w:rPr>
        <w:t xml:space="preserve">a) lemn de foc; </w:t>
      </w:r>
    </w:p>
    <w:p w14:paraId="61EBA600" w14:textId="77777777" w:rsidR="00F71FFE" w:rsidRPr="003C4245" w:rsidRDefault="00F71FFE" w:rsidP="00F71FFE">
      <w:pPr>
        <w:tabs>
          <w:tab w:val="left" w:pos="1134"/>
        </w:tabs>
        <w:spacing w:after="0" w:line="240" w:lineRule="auto"/>
        <w:ind w:firstLine="426"/>
        <w:jc w:val="both"/>
        <w:rPr>
          <w:rFonts w:ascii="Times New Roman" w:hAnsi="Times New Roman" w:cs="Times New Roman"/>
          <w:sz w:val="24"/>
          <w:szCs w:val="24"/>
          <w:lang w:val="ro-RO"/>
        </w:rPr>
      </w:pPr>
      <w:r w:rsidRPr="003C4245">
        <w:rPr>
          <w:rFonts w:ascii="Times New Roman" w:hAnsi="Times New Roman" w:cs="Times New Roman"/>
          <w:sz w:val="24"/>
          <w:szCs w:val="24"/>
          <w:lang w:val="ro-RO"/>
        </w:rPr>
        <w:t xml:space="preserve">b) </w:t>
      </w:r>
      <w:proofErr w:type="spellStart"/>
      <w:r w:rsidRPr="003C4245">
        <w:rPr>
          <w:rFonts w:ascii="Times New Roman" w:hAnsi="Times New Roman" w:cs="Times New Roman"/>
          <w:sz w:val="24"/>
          <w:szCs w:val="24"/>
        </w:rPr>
        <w:t>resturi</w:t>
      </w:r>
      <w:proofErr w:type="spellEnd"/>
      <w:r w:rsidRPr="003C4245">
        <w:rPr>
          <w:rFonts w:ascii="Times New Roman" w:hAnsi="Times New Roman" w:cs="Times New Roman"/>
          <w:sz w:val="24"/>
          <w:szCs w:val="24"/>
        </w:rPr>
        <w:t xml:space="preserve"> de </w:t>
      </w:r>
      <w:proofErr w:type="spellStart"/>
      <w:r w:rsidRPr="003C4245">
        <w:rPr>
          <w:rFonts w:ascii="Times New Roman" w:hAnsi="Times New Roman" w:cs="Times New Roman"/>
          <w:sz w:val="24"/>
          <w:szCs w:val="24"/>
        </w:rPr>
        <w:t>lemn</w:t>
      </w:r>
      <w:proofErr w:type="spellEnd"/>
      <w:r w:rsidRPr="003C4245">
        <w:rPr>
          <w:rFonts w:ascii="Times New Roman" w:hAnsi="Times New Roman" w:cs="Times New Roman"/>
          <w:sz w:val="24"/>
          <w:szCs w:val="24"/>
          <w:lang w:val="ro-RO"/>
        </w:rPr>
        <w:t>;</w:t>
      </w:r>
    </w:p>
    <w:p w14:paraId="284C3D1F" w14:textId="77777777" w:rsidR="00F71FFE" w:rsidRPr="003C4245" w:rsidRDefault="00F71FFE" w:rsidP="00F71FFE">
      <w:pPr>
        <w:tabs>
          <w:tab w:val="left" w:pos="1134"/>
        </w:tabs>
        <w:spacing w:after="0" w:line="240" w:lineRule="auto"/>
        <w:ind w:firstLine="426"/>
        <w:jc w:val="both"/>
        <w:rPr>
          <w:rFonts w:ascii="Times New Roman" w:hAnsi="Times New Roman" w:cs="Times New Roman"/>
          <w:sz w:val="24"/>
          <w:szCs w:val="24"/>
          <w:lang w:val="ro-RO"/>
        </w:rPr>
      </w:pPr>
      <w:r w:rsidRPr="003C4245">
        <w:rPr>
          <w:rFonts w:ascii="Times New Roman" w:hAnsi="Times New Roman" w:cs="Times New Roman"/>
          <w:sz w:val="24"/>
          <w:szCs w:val="24"/>
          <w:lang w:val="ro-RO"/>
        </w:rPr>
        <w:t xml:space="preserve">c) tocătură </w:t>
      </w:r>
      <w:proofErr w:type="spellStart"/>
      <w:r w:rsidRPr="003C4245">
        <w:rPr>
          <w:rFonts w:ascii="Times New Roman" w:hAnsi="Times New Roman" w:cs="Times New Roman"/>
          <w:sz w:val="24"/>
          <w:szCs w:val="24"/>
        </w:rPr>
        <w:t>provenit</w:t>
      </w:r>
      <w:proofErr w:type="spellEnd"/>
      <w:r w:rsidRPr="003C4245">
        <w:rPr>
          <w:rFonts w:ascii="Times New Roman" w:hAnsi="Times New Roman" w:cs="Times New Roman"/>
          <w:sz w:val="24"/>
          <w:szCs w:val="24"/>
          <w:lang w:val="ro-RO"/>
        </w:rPr>
        <w:t>ă</w:t>
      </w:r>
      <w:r w:rsidRPr="003C4245">
        <w:rPr>
          <w:rFonts w:ascii="Times New Roman" w:hAnsi="Times New Roman" w:cs="Times New Roman"/>
          <w:sz w:val="24"/>
          <w:szCs w:val="24"/>
        </w:rPr>
        <w:t xml:space="preserve"> din </w:t>
      </w:r>
      <w:r w:rsidRPr="003C4245">
        <w:rPr>
          <w:rFonts w:ascii="Times New Roman" w:hAnsi="Times New Roman" w:cs="Times New Roman"/>
          <w:sz w:val="24"/>
          <w:szCs w:val="24"/>
          <w:lang w:val="ro-RO"/>
        </w:rPr>
        <w:t>lemn;</w:t>
      </w:r>
    </w:p>
    <w:p w14:paraId="0FD1900D" w14:textId="77777777" w:rsidR="00F71FFE" w:rsidRPr="003C4245" w:rsidRDefault="00F71FFE" w:rsidP="00F71FFE">
      <w:pPr>
        <w:tabs>
          <w:tab w:val="left" w:pos="1134"/>
        </w:tabs>
        <w:spacing w:after="0" w:line="240" w:lineRule="auto"/>
        <w:ind w:firstLine="426"/>
        <w:jc w:val="both"/>
        <w:rPr>
          <w:rFonts w:ascii="Times New Roman" w:hAnsi="Times New Roman" w:cs="Times New Roman"/>
          <w:sz w:val="24"/>
          <w:szCs w:val="24"/>
          <w:lang w:val="ro-RO"/>
        </w:rPr>
      </w:pPr>
      <w:r w:rsidRPr="003C4245">
        <w:rPr>
          <w:rFonts w:ascii="Times New Roman" w:hAnsi="Times New Roman" w:cs="Times New Roman"/>
          <w:sz w:val="24"/>
          <w:szCs w:val="24"/>
          <w:lang w:val="ro-RO"/>
        </w:rPr>
        <w:t xml:space="preserve">d) rumeguș.  </w:t>
      </w:r>
    </w:p>
    <w:p w14:paraId="759008A1" w14:textId="77777777" w:rsidR="00F71FFE" w:rsidRPr="003C4245" w:rsidRDefault="00F71FFE" w:rsidP="00F71FFE">
      <w:pPr>
        <w:numPr>
          <w:ilvl w:val="0"/>
          <w:numId w:val="1"/>
        </w:numPr>
        <w:tabs>
          <w:tab w:val="left" w:pos="1134"/>
        </w:tabs>
        <w:spacing w:after="0" w:line="240" w:lineRule="auto"/>
        <w:ind w:firstLine="426"/>
        <w:jc w:val="both"/>
        <w:rPr>
          <w:rFonts w:ascii="Times New Roman" w:hAnsi="Times New Roman" w:cs="Times New Roman"/>
          <w:sz w:val="24"/>
          <w:szCs w:val="24"/>
        </w:rPr>
      </w:pPr>
      <w:r w:rsidRPr="003C4245">
        <w:rPr>
          <w:rFonts w:ascii="Times New Roman" w:hAnsi="Times New Roman" w:cs="Times New Roman"/>
          <w:sz w:val="24"/>
          <w:szCs w:val="24"/>
        </w:rPr>
        <w:t xml:space="preserve"> - </w:t>
      </w:r>
      <w:r w:rsidRPr="003C4245">
        <w:rPr>
          <w:rFonts w:ascii="Times New Roman" w:hAnsi="Times New Roman" w:cs="Times New Roman"/>
          <w:sz w:val="24"/>
          <w:szCs w:val="24"/>
          <w:lang w:val="ro-RO"/>
        </w:rPr>
        <w:t>Prețurile finale facturate se plafonează la următoarele</w:t>
      </w:r>
      <w:r w:rsidRPr="003C4245">
        <w:rPr>
          <w:rFonts w:ascii="Times New Roman" w:hAnsi="Times New Roman" w:cs="Times New Roman"/>
          <w:sz w:val="24"/>
          <w:szCs w:val="24"/>
        </w:rPr>
        <w:t xml:space="preserve"> </w:t>
      </w:r>
      <w:proofErr w:type="spellStart"/>
      <w:r w:rsidRPr="003C4245">
        <w:rPr>
          <w:rFonts w:ascii="Times New Roman" w:hAnsi="Times New Roman" w:cs="Times New Roman"/>
          <w:sz w:val="24"/>
          <w:szCs w:val="24"/>
        </w:rPr>
        <w:t>produse</w:t>
      </w:r>
      <w:proofErr w:type="spellEnd"/>
      <w:r w:rsidRPr="003C4245">
        <w:rPr>
          <w:rFonts w:ascii="Times New Roman" w:hAnsi="Times New Roman" w:cs="Times New Roman"/>
          <w:sz w:val="24"/>
          <w:szCs w:val="24"/>
        </w:rPr>
        <w:t>, dup</w:t>
      </w:r>
      <w:r w:rsidRPr="003C4245">
        <w:rPr>
          <w:rFonts w:ascii="Times New Roman" w:hAnsi="Times New Roman" w:cs="Times New Roman"/>
          <w:sz w:val="24"/>
          <w:szCs w:val="24"/>
          <w:lang w:val="ro-RO"/>
        </w:rPr>
        <w:t>ă</w:t>
      </w:r>
      <w:r w:rsidRPr="003C4245">
        <w:rPr>
          <w:rFonts w:ascii="Times New Roman" w:hAnsi="Times New Roman" w:cs="Times New Roman"/>
          <w:sz w:val="24"/>
          <w:szCs w:val="24"/>
        </w:rPr>
        <w:t xml:space="preserve"> cum </w:t>
      </w:r>
      <w:proofErr w:type="spellStart"/>
      <w:r w:rsidRPr="003C4245">
        <w:rPr>
          <w:rFonts w:ascii="Times New Roman" w:hAnsi="Times New Roman" w:cs="Times New Roman"/>
          <w:sz w:val="24"/>
          <w:szCs w:val="24"/>
        </w:rPr>
        <w:t>urmeaz</w:t>
      </w:r>
      <w:proofErr w:type="spellEnd"/>
      <w:r w:rsidRPr="003C4245">
        <w:rPr>
          <w:rFonts w:ascii="Times New Roman" w:hAnsi="Times New Roman" w:cs="Times New Roman"/>
          <w:sz w:val="24"/>
          <w:szCs w:val="24"/>
          <w:lang w:val="ro-RO"/>
        </w:rPr>
        <w:t>ă</w:t>
      </w:r>
      <w:r w:rsidRPr="003C4245">
        <w:rPr>
          <w:rFonts w:ascii="Times New Roman" w:hAnsi="Times New Roman" w:cs="Times New Roman"/>
          <w:sz w:val="24"/>
          <w:szCs w:val="24"/>
        </w:rPr>
        <w:t>:</w:t>
      </w:r>
    </w:p>
    <w:p w14:paraId="31A7F463" w14:textId="77777777" w:rsidR="00F71FFE" w:rsidRPr="003C4245" w:rsidRDefault="00F71FFE" w:rsidP="00F71FFE">
      <w:pPr>
        <w:numPr>
          <w:ilvl w:val="0"/>
          <w:numId w:val="2"/>
        </w:numPr>
        <w:tabs>
          <w:tab w:val="left" w:pos="1134"/>
        </w:tabs>
        <w:spacing w:after="0" w:line="240" w:lineRule="auto"/>
        <w:ind w:firstLine="426"/>
        <w:jc w:val="both"/>
        <w:rPr>
          <w:rFonts w:ascii="Times New Roman" w:hAnsi="Times New Roman" w:cs="Times New Roman"/>
          <w:sz w:val="24"/>
          <w:szCs w:val="24"/>
        </w:rPr>
      </w:pPr>
      <w:r w:rsidRPr="003C4245">
        <w:rPr>
          <w:rFonts w:ascii="Times New Roman" w:hAnsi="Times New Roman" w:cs="Times New Roman"/>
          <w:sz w:val="24"/>
          <w:szCs w:val="24"/>
          <w:lang w:val="ro-RO"/>
        </w:rPr>
        <w:t>brichete din lemn maxim 1500 lei/tonă cu TVA inclus</w:t>
      </w:r>
      <w:r w:rsidRPr="003C4245">
        <w:rPr>
          <w:rFonts w:ascii="Times New Roman" w:hAnsi="Times New Roman" w:cs="Times New Roman"/>
          <w:sz w:val="24"/>
          <w:szCs w:val="24"/>
        </w:rPr>
        <w:t>;</w:t>
      </w:r>
    </w:p>
    <w:p w14:paraId="13574306" w14:textId="77777777" w:rsidR="00F71FFE" w:rsidRPr="003C4245" w:rsidRDefault="00F71FFE" w:rsidP="00F71FFE">
      <w:pPr>
        <w:numPr>
          <w:ilvl w:val="0"/>
          <w:numId w:val="2"/>
        </w:numPr>
        <w:tabs>
          <w:tab w:val="left" w:pos="1134"/>
        </w:tabs>
        <w:spacing w:after="0" w:line="240" w:lineRule="auto"/>
        <w:ind w:firstLine="426"/>
        <w:jc w:val="both"/>
        <w:rPr>
          <w:rFonts w:ascii="Times New Roman" w:hAnsi="Times New Roman" w:cs="Times New Roman"/>
          <w:sz w:val="24"/>
          <w:szCs w:val="24"/>
        </w:rPr>
      </w:pPr>
      <w:r w:rsidRPr="003C4245">
        <w:rPr>
          <w:rFonts w:ascii="Times New Roman" w:hAnsi="Times New Roman" w:cs="Times New Roman"/>
          <w:sz w:val="24"/>
          <w:szCs w:val="24"/>
          <w:lang w:val="ro-RO"/>
        </w:rPr>
        <w:t>p</w:t>
      </w:r>
      <w:proofErr w:type="spellStart"/>
      <w:r w:rsidRPr="003C4245">
        <w:rPr>
          <w:rFonts w:ascii="Times New Roman" w:hAnsi="Times New Roman" w:cs="Times New Roman"/>
          <w:sz w:val="24"/>
          <w:szCs w:val="24"/>
        </w:rPr>
        <w:t>elete</w:t>
      </w:r>
      <w:proofErr w:type="spellEnd"/>
      <w:r w:rsidRPr="003C4245">
        <w:rPr>
          <w:rFonts w:ascii="Times New Roman" w:hAnsi="Times New Roman" w:cs="Times New Roman"/>
          <w:sz w:val="24"/>
          <w:szCs w:val="24"/>
        </w:rPr>
        <w:t xml:space="preserve"> din </w:t>
      </w:r>
      <w:proofErr w:type="spellStart"/>
      <w:r w:rsidRPr="003C4245">
        <w:rPr>
          <w:rFonts w:ascii="Times New Roman" w:hAnsi="Times New Roman" w:cs="Times New Roman"/>
          <w:sz w:val="24"/>
          <w:szCs w:val="24"/>
        </w:rPr>
        <w:t>lemn</w:t>
      </w:r>
      <w:proofErr w:type="spellEnd"/>
      <w:r w:rsidRPr="003C4245">
        <w:rPr>
          <w:rFonts w:ascii="Times New Roman" w:hAnsi="Times New Roman" w:cs="Times New Roman"/>
          <w:sz w:val="24"/>
          <w:szCs w:val="24"/>
        </w:rPr>
        <w:t xml:space="preserve"> maxim 2000 lei/ton</w:t>
      </w:r>
      <w:r w:rsidRPr="003C4245">
        <w:rPr>
          <w:rFonts w:ascii="Times New Roman" w:hAnsi="Times New Roman" w:cs="Times New Roman"/>
          <w:sz w:val="24"/>
          <w:szCs w:val="24"/>
          <w:lang w:val="ro-RO"/>
        </w:rPr>
        <w:t>ă cu TVA inclus</w:t>
      </w:r>
      <w:r w:rsidRPr="003C4245">
        <w:rPr>
          <w:rFonts w:ascii="Times New Roman" w:hAnsi="Times New Roman" w:cs="Times New Roman"/>
          <w:sz w:val="24"/>
          <w:szCs w:val="24"/>
        </w:rPr>
        <w:t>.</w:t>
      </w:r>
    </w:p>
    <w:p w14:paraId="15B2F47B" w14:textId="77777777" w:rsidR="00F71FFE" w:rsidRPr="003C4245" w:rsidRDefault="00F71FFE" w:rsidP="00F71FFE">
      <w:pPr>
        <w:numPr>
          <w:ilvl w:val="0"/>
          <w:numId w:val="1"/>
        </w:numPr>
        <w:tabs>
          <w:tab w:val="left" w:pos="1134"/>
        </w:tabs>
        <w:spacing w:after="0" w:line="240" w:lineRule="auto"/>
        <w:ind w:firstLine="426"/>
        <w:jc w:val="both"/>
        <w:rPr>
          <w:rFonts w:ascii="Times New Roman" w:hAnsi="Times New Roman" w:cs="Times New Roman"/>
          <w:sz w:val="24"/>
          <w:szCs w:val="24"/>
          <w:lang w:val="ro-RO"/>
        </w:rPr>
      </w:pPr>
      <w:r w:rsidRPr="003C4245">
        <w:rPr>
          <w:rFonts w:ascii="Times New Roman" w:hAnsi="Times New Roman" w:cs="Times New Roman"/>
          <w:sz w:val="24"/>
          <w:szCs w:val="24"/>
          <w:lang w:val="ro-RO"/>
        </w:rPr>
        <w:t xml:space="preserve">- Prevederile alin.(1) și (2) se aplică consumatorilor finali, respectiv persoanelor fizice și următoarelor entități: unităților de învățământ publice și private, furnizorilor de servicii sociale, unităților de interes local, unităților de cult și unităților administrativ-teritoriale, precum și unităților din subordinea acestora. </w:t>
      </w:r>
    </w:p>
    <w:p w14:paraId="0D59C81C" w14:textId="77777777" w:rsidR="00F71FFE" w:rsidRPr="003C4245" w:rsidRDefault="00F71FFE" w:rsidP="00F71FFE">
      <w:pPr>
        <w:tabs>
          <w:tab w:val="left" w:pos="1134"/>
        </w:tabs>
        <w:spacing w:after="0" w:line="240" w:lineRule="auto"/>
        <w:ind w:firstLine="426"/>
        <w:jc w:val="both"/>
        <w:rPr>
          <w:rFonts w:ascii="Times New Roman" w:hAnsi="Times New Roman" w:cs="Times New Roman"/>
          <w:sz w:val="24"/>
          <w:szCs w:val="24"/>
          <w:lang w:val="ro-RO"/>
        </w:rPr>
      </w:pPr>
    </w:p>
    <w:p w14:paraId="485EA134" w14:textId="77777777" w:rsidR="00F71FFE" w:rsidRDefault="00F71FFE" w:rsidP="00F71FFE">
      <w:pPr>
        <w:tabs>
          <w:tab w:val="left" w:pos="1134"/>
        </w:tabs>
        <w:spacing w:after="0" w:line="240" w:lineRule="auto"/>
        <w:ind w:firstLine="426"/>
        <w:jc w:val="both"/>
        <w:rPr>
          <w:rFonts w:ascii="Times New Roman" w:hAnsi="Times New Roman" w:cs="Times New Roman"/>
          <w:sz w:val="24"/>
          <w:szCs w:val="24"/>
          <w:lang w:val="ro-RO"/>
        </w:rPr>
      </w:pPr>
      <w:r w:rsidRPr="003C4245">
        <w:rPr>
          <w:rFonts w:ascii="Times New Roman" w:hAnsi="Times New Roman" w:cs="Times New Roman"/>
          <w:b/>
          <w:bCs/>
          <w:sz w:val="24"/>
          <w:szCs w:val="24"/>
          <w:lang w:val="ro-RO"/>
        </w:rPr>
        <w:t>Art.2</w:t>
      </w:r>
      <w:r w:rsidRPr="003C4245">
        <w:rPr>
          <w:rFonts w:ascii="Times New Roman" w:hAnsi="Times New Roman" w:cs="Times New Roman"/>
          <w:sz w:val="24"/>
          <w:szCs w:val="24"/>
          <w:lang w:val="ro-RO"/>
        </w:rPr>
        <w:t xml:space="preserve"> - Măsurile prevăzute la art.1 alin. (1) și alin. (2) se aplică până la data de 31 martie 2023.</w:t>
      </w:r>
    </w:p>
    <w:p w14:paraId="715B2938" w14:textId="77777777" w:rsidR="00F71FFE" w:rsidRDefault="00F71FFE" w:rsidP="00F71FFE">
      <w:pPr>
        <w:tabs>
          <w:tab w:val="left" w:pos="1134"/>
        </w:tabs>
        <w:spacing w:after="0" w:line="240" w:lineRule="auto"/>
        <w:ind w:firstLine="426"/>
        <w:jc w:val="both"/>
        <w:rPr>
          <w:rFonts w:ascii="Times New Roman" w:hAnsi="Times New Roman" w:cs="Times New Roman"/>
          <w:sz w:val="24"/>
          <w:szCs w:val="24"/>
          <w:lang w:val="ro-RO"/>
        </w:rPr>
      </w:pPr>
    </w:p>
    <w:p w14:paraId="514947AC" w14:textId="77777777" w:rsidR="00F71FFE" w:rsidRPr="003C4245" w:rsidRDefault="00F71FFE" w:rsidP="00F71FFE">
      <w:pPr>
        <w:tabs>
          <w:tab w:val="left" w:pos="1134"/>
        </w:tabs>
        <w:spacing w:after="0" w:line="240" w:lineRule="auto"/>
        <w:ind w:firstLine="426"/>
        <w:jc w:val="both"/>
        <w:rPr>
          <w:rFonts w:ascii="Times New Roman" w:hAnsi="Times New Roman" w:cs="Times New Roman"/>
          <w:sz w:val="24"/>
          <w:szCs w:val="24"/>
          <w:lang w:val="ro-RO"/>
        </w:rPr>
      </w:pPr>
      <w:r w:rsidRPr="00144E98">
        <w:rPr>
          <w:rFonts w:ascii="Times New Roman" w:hAnsi="Times New Roman" w:cs="Times New Roman"/>
          <w:b/>
          <w:sz w:val="24"/>
          <w:szCs w:val="24"/>
          <w:lang w:val="ro-RO"/>
        </w:rPr>
        <w:t>Art. 3.-</w:t>
      </w:r>
      <w:r>
        <w:rPr>
          <w:rFonts w:ascii="Times New Roman" w:hAnsi="Times New Roman" w:cs="Times New Roman"/>
          <w:sz w:val="24"/>
          <w:szCs w:val="24"/>
          <w:lang w:val="ro-RO"/>
        </w:rPr>
        <w:t xml:space="preserve"> (1) Nerespectarea prevederilor art. 1 constituie contravenție și se sancționează cu amendă de la 3.000-5.000 lei.</w:t>
      </w:r>
    </w:p>
    <w:p w14:paraId="034F74EB" w14:textId="12FACA22" w:rsidR="00F71FFE" w:rsidRPr="00933EF2" w:rsidRDefault="00F71FFE" w:rsidP="00F71FFE">
      <w:pPr>
        <w:tabs>
          <w:tab w:val="left" w:pos="1134"/>
        </w:tabs>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(2) Constatarea și sancționarea contravenției prevăzută la alin. (1) se realizează de către agenții constatatori prevăzuți la art. 24 alin. (1) lit. a)-d) din Legea nr.171/</w:t>
      </w:r>
      <w:r w:rsidRPr="00933EF2">
        <w:rPr>
          <w:rFonts w:ascii="Times New Roman" w:hAnsi="Times New Roman" w:cs="Times New Roman"/>
          <w:sz w:val="24"/>
          <w:szCs w:val="24"/>
          <w:lang w:val="ro-RO"/>
        </w:rPr>
        <w:t>2010</w:t>
      </w:r>
      <w:r w:rsidRPr="00933EF2">
        <w:rPr>
          <w:rFonts w:ascii="Verdana" w:hAnsi="Verdana"/>
          <w:b/>
          <w:bCs/>
          <w:color w:val="00008B"/>
          <w:sz w:val="17"/>
          <w:szCs w:val="17"/>
          <w:shd w:val="clear" w:color="auto" w:fill="FFFFFF"/>
          <w:lang w:val="ro-RO"/>
        </w:rPr>
        <w:t xml:space="preserve"> </w:t>
      </w:r>
      <w:r w:rsidRPr="00933EF2">
        <w:rPr>
          <w:rFonts w:ascii="Times New Roman" w:hAnsi="Times New Roman" w:cs="Times New Roman"/>
          <w:bCs/>
          <w:sz w:val="24"/>
          <w:szCs w:val="24"/>
          <w:shd w:val="clear" w:color="auto" w:fill="FFFFFF"/>
          <w:lang w:val="ro-RO"/>
        </w:rPr>
        <w:t>privind stabilirea și sancționarea contravențiilor silvice, cu modificările și completările ulterioare</w:t>
      </w:r>
      <w:r w:rsidR="00933EF2" w:rsidRPr="00933EF2">
        <w:rPr>
          <w:rFonts w:ascii="Times New Roman" w:hAnsi="Times New Roman" w:cs="Times New Roman"/>
          <w:bCs/>
          <w:sz w:val="24"/>
          <w:szCs w:val="24"/>
          <w:shd w:val="clear" w:color="auto" w:fill="FFFFFF"/>
          <w:lang w:val="ro-RO"/>
        </w:rPr>
        <w:t xml:space="preserve"> și de către reprezentanții împuterniciți ai Autorității Naționale pentru Protecția Consumatorilor, în conformitate cu prevederile art.3 din Hotărârea Guvernului nr.700/2012 privind organizarea și funcționarea Autorității Naționale pentru Protecția Consumatorilor, cu modificările și completările ulterioare, în acord cu atribuțiile și domeniul de competență al fiecărei instituții</w:t>
      </w:r>
      <w:r w:rsidRPr="00933EF2">
        <w:rPr>
          <w:rFonts w:ascii="Times New Roman" w:hAnsi="Times New Roman" w:cs="Times New Roman"/>
          <w:bCs/>
          <w:sz w:val="24"/>
          <w:szCs w:val="24"/>
          <w:shd w:val="clear" w:color="auto" w:fill="FFFFFF"/>
          <w:lang w:val="ro-RO"/>
        </w:rPr>
        <w:t>.</w:t>
      </w:r>
    </w:p>
    <w:p w14:paraId="1A451046" w14:textId="77777777" w:rsidR="00F71FFE" w:rsidRPr="00933EF2" w:rsidRDefault="00F71FFE" w:rsidP="00F71FFE">
      <w:pPr>
        <w:tabs>
          <w:tab w:val="left" w:pos="1134"/>
        </w:tabs>
        <w:spacing w:after="0" w:line="240" w:lineRule="auto"/>
        <w:jc w:val="both"/>
        <w:rPr>
          <w:rFonts w:ascii="Times New Roman" w:hAnsi="Times New Roman" w:cs="Times New Roman"/>
          <w:sz w:val="24"/>
          <w:szCs w:val="24"/>
          <w:lang w:val="ro-RO"/>
        </w:rPr>
      </w:pPr>
    </w:p>
    <w:p w14:paraId="668E0A0C" w14:textId="77777777" w:rsidR="00F71FFE" w:rsidRPr="003C4245" w:rsidRDefault="00F71FFE" w:rsidP="00F71FFE">
      <w:pPr>
        <w:tabs>
          <w:tab w:val="left" w:pos="1134"/>
        </w:tabs>
        <w:spacing w:after="0" w:line="240" w:lineRule="auto"/>
        <w:jc w:val="both"/>
        <w:rPr>
          <w:rFonts w:ascii="Times New Roman" w:hAnsi="Times New Roman" w:cs="Times New Roman"/>
          <w:sz w:val="24"/>
          <w:szCs w:val="24"/>
          <w:lang w:val="ro-RO"/>
        </w:rPr>
      </w:pPr>
    </w:p>
    <w:p w14:paraId="72245D2D" w14:textId="77777777" w:rsidR="00F71FFE" w:rsidRPr="003C4245" w:rsidRDefault="00F71FFE" w:rsidP="00F71FFE">
      <w:pPr>
        <w:spacing w:after="0" w:line="360" w:lineRule="auto"/>
        <w:jc w:val="center"/>
        <w:rPr>
          <w:rFonts w:ascii="Times New Roman" w:hAnsi="Times New Roman"/>
          <w:b/>
          <w:sz w:val="24"/>
          <w:szCs w:val="24"/>
          <w:lang w:val="ro-RO"/>
        </w:rPr>
      </w:pPr>
      <w:r w:rsidRPr="003C4245">
        <w:rPr>
          <w:rFonts w:ascii="Times New Roman" w:hAnsi="Times New Roman"/>
          <w:b/>
          <w:sz w:val="24"/>
          <w:szCs w:val="24"/>
          <w:lang w:val="ro-RO"/>
        </w:rPr>
        <w:t>PRIM-MINISTRU</w:t>
      </w:r>
    </w:p>
    <w:p w14:paraId="781779FC" w14:textId="77777777" w:rsidR="00F71FFE" w:rsidRDefault="00F71FFE" w:rsidP="00F71FFE">
      <w:pPr>
        <w:spacing w:after="0" w:line="360" w:lineRule="auto"/>
        <w:jc w:val="center"/>
        <w:rPr>
          <w:rFonts w:ascii="Times New Roman" w:hAnsi="Times New Roman"/>
          <w:b/>
          <w:sz w:val="24"/>
          <w:szCs w:val="24"/>
          <w:lang w:val="ro-RO"/>
        </w:rPr>
      </w:pPr>
      <w:r w:rsidRPr="003C4245">
        <w:rPr>
          <w:rFonts w:ascii="Times New Roman" w:hAnsi="Times New Roman"/>
          <w:b/>
          <w:sz w:val="24"/>
          <w:szCs w:val="24"/>
          <w:lang w:val="ro-RO"/>
        </w:rPr>
        <w:t>Nicolae-Ionel CIUCĂ</w:t>
      </w:r>
    </w:p>
    <w:p w14:paraId="37AFB574" w14:textId="77777777" w:rsidR="00F71FFE" w:rsidRDefault="00F71FFE" w:rsidP="00F71FFE">
      <w:pPr>
        <w:ind w:left="-284" w:firstLine="568"/>
        <w:jc w:val="center"/>
        <w:rPr>
          <w:rStyle w:val="slitbdy"/>
          <w:rFonts w:ascii="Times New Roman" w:hAnsi="Times New Roman" w:cs="Times New Roman"/>
          <w:b/>
          <w:sz w:val="24"/>
          <w:szCs w:val="24"/>
          <w:shd w:val="clear" w:color="auto" w:fill="FFFFFF"/>
        </w:rPr>
      </w:pPr>
    </w:p>
    <w:p w14:paraId="6AD0F52F" w14:textId="77777777" w:rsidR="00F71FFE" w:rsidRDefault="00F71FFE" w:rsidP="00F71FFE">
      <w:pPr>
        <w:ind w:left="-284" w:firstLine="568"/>
        <w:jc w:val="both"/>
        <w:rPr>
          <w:rFonts w:ascii="Times New Roman" w:hAnsi="Times New Roman" w:cs="Times New Roman"/>
          <w:sz w:val="24"/>
          <w:szCs w:val="24"/>
        </w:rPr>
      </w:pPr>
    </w:p>
    <w:p w14:paraId="6EBBB18C" w14:textId="77777777" w:rsidR="00580DFD" w:rsidRDefault="00580DFD">
      <w:pPr>
        <w:ind w:left="-284" w:firstLine="568"/>
        <w:jc w:val="both"/>
        <w:rPr>
          <w:rFonts w:ascii="Times New Roman" w:hAnsi="Times New Roman" w:cs="Times New Roman"/>
          <w:sz w:val="24"/>
          <w:szCs w:val="24"/>
        </w:rPr>
      </w:pPr>
    </w:p>
    <w:sectPr w:rsidR="00580DFD">
      <w:headerReference w:type="even" r:id="rId9"/>
      <w:headerReference w:type="default" r:id="rId10"/>
      <w:footerReference w:type="even" r:id="rId11"/>
      <w:footerReference w:type="default" r:id="rId12"/>
      <w:headerReference w:type="first" r:id="rId13"/>
      <w:footerReference w:type="first" r:id="rId14"/>
      <w:pgSz w:w="12240" w:h="15840"/>
      <w:pgMar w:top="426" w:right="758"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4E2A9" w14:textId="77777777" w:rsidR="00B42202" w:rsidRDefault="00B42202">
      <w:pPr>
        <w:spacing w:line="240" w:lineRule="auto"/>
      </w:pPr>
      <w:r>
        <w:separator/>
      </w:r>
    </w:p>
  </w:endnote>
  <w:endnote w:type="continuationSeparator" w:id="0">
    <w:p w14:paraId="6A4EAA0B" w14:textId="77777777" w:rsidR="00B42202" w:rsidRDefault="00B422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2D173" w14:textId="77777777" w:rsidR="00580DFD" w:rsidRDefault="00580DFD">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E37ED" w14:textId="77777777" w:rsidR="00580DFD" w:rsidRDefault="00580DFD">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D64C0" w14:textId="77777777" w:rsidR="00580DFD" w:rsidRDefault="00580DFD">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0EBCA" w14:textId="77777777" w:rsidR="00B42202" w:rsidRDefault="00B42202">
      <w:pPr>
        <w:spacing w:after="0"/>
      </w:pPr>
      <w:r>
        <w:separator/>
      </w:r>
    </w:p>
  </w:footnote>
  <w:footnote w:type="continuationSeparator" w:id="0">
    <w:p w14:paraId="713DCA61" w14:textId="77777777" w:rsidR="00B42202" w:rsidRDefault="00B4220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D5384" w14:textId="77777777" w:rsidR="00580DFD" w:rsidRDefault="00580DFD">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059A" w14:textId="77777777" w:rsidR="00580DFD" w:rsidRDefault="00580DFD">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47625" w14:textId="77777777" w:rsidR="00580DFD" w:rsidRDefault="00580DFD">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5AD364"/>
    <w:multiLevelType w:val="singleLevel"/>
    <w:tmpl w:val="825AD364"/>
    <w:lvl w:ilvl="0">
      <w:start w:val="2"/>
      <w:numFmt w:val="decimal"/>
      <w:suff w:val="space"/>
      <w:lvlText w:val="(%1)"/>
      <w:lvlJc w:val="left"/>
    </w:lvl>
  </w:abstractNum>
  <w:abstractNum w:abstractNumId="1" w15:restartNumberingAfterBreak="0">
    <w:nsid w:val="37DAC1D8"/>
    <w:multiLevelType w:val="singleLevel"/>
    <w:tmpl w:val="37DAC1D8"/>
    <w:lvl w:ilvl="0">
      <w:start w:val="1"/>
      <w:numFmt w:val="lowerLetter"/>
      <w:suff w:val="space"/>
      <w:lvlText w:val="%1)"/>
      <w:lvlJc w:val="left"/>
    </w:lvl>
  </w:abstractNum>
  <w:num w:numId="1" w16cid:durableId="107547244">
    <w:abstractNumId w:val="0"/>
  </w:num>
  <w:num w:numId="2" w16cid:durableId="11643214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6C9"/>
    <w:rsid w:val="00016694"/>
    <w:rsid w:val="000A52A3"/>
    <w:rsid w:val="000B25CC"/>
    <w:rsid w:val="000D2A32"/>
    <w:rsid w:val="00116305"/>
    <w:rsid w:val="00121724"/>
    <w:rsid w:val="001810B1"/>
    <w:rsid w:val="001E042C"/>
    <w:rsid w:val="001E542B"/>
    <w:rsid w:val="001E66C9"/>
    <w:rsid w:val="00207897"/>
    <w:rsid w:val="00274FE4"/>
    <w:rsid w:val="00334C94"/>
    <w:rsid w:val="003753E3"/>
    <w:rsid w:val="00393A32"/>
    <w:rsid w:val="00407E20"/>
    <w:rsid w:val="00491107"/>
    <w:rsid w:val="004B0B3D"/>
    <w:rsid w:val="004B4999"/>
    <w:rsid w:val="004D20D8"/>
    <w:rsid w:val="00507A01"/>
    <w:rsid w:val="005521D1"/>
    <w:rsid w:val="005624C4"/>
    <w:rsid w:val="00564633"/>
    <w:rsid w:val="00580DFD"/>
    <w:rsid w:val="00595B05"/>
    <w:rsid w:val="005F6606"/>
    <w:rsid w:val="00620C58"/>
    <w:rsid w:val="00664476"/>
    <w:rsid w:val="006645DE"/>
    <w:rsid w:val="006B233C"/>
    <w:rsid w:val="006B6CF3"/>
    <w:rsid w:val="006E6C65"/>
    <w:rsid w:val="00726A4A"/>
    <w:rsid w:val="00743BB9"/>
    <w:rsid w:val="007839F0"/>
    <w:rsid w:val="007A5C49"/>
    <w:rsid w:val="007D323E"/>
    <w:rsid w:val="007D5832"/>
    <w:rsid w:val="0082638F"/>
    <w:rsid w:val="00853A63"/>
    <w:rsid w:val="00887EDE"/>
    <w:rsid w:val="008903FE"/>
    <w:rsid w:val="00894945"/>
    <w:rsid w:val="008D09A8"/>
    <w:rsid w:val="008D242A"/>
    <w:rsid w:val="00933EF2"/>
    <w:rsid w:val="0095405D"/>
    <w:rsid w:val="00955705"/>
    <w:rsid w:val="00976380"/>
    <w:rsid w:val="0099682C"/>
    <w:rsid w:val="009A0B28"/>
    <w:rsid w:val="009B5D4B"/>
    <w:rsid w:val="009B6E16"/>
    <w:rsid w:val="009D0209"/>
    <w:rsid w:val="009F6570"/>
    <w:rsid w:val="00A85DEC"/>
    <w:rsid w:val="00AC0549"/>
    <w:rsid w:val="00B42202"/>
    <w:rsid w:val="00B43DB5"/>
    <w:rsid w:val="00B61C8F"/>
    <w:rsid w:val="00B628A3"/>
    <w:rsid w:val="00B71BB5"/>
    <w:rsid w:val="00B76F11"/>
    <w:rsid w:val="00B9198B"/>
    <w:rsid w:val="00BB2A04"/>
    <w:rsid w:val="00C063F1"/>
    <w:rsid w:val="00C710D3"/>
    <w:rsid w:val="00C75B3F"/>
    <w:rsid w:val="00CB0134"/>
    <w:rsid w:val="00CC12C1"/>
    <w:rsid w:val="00CC4370"/>
    <w:rsid w:val="00CD5D09"/>
    <w:rsid w:val="00CD773E"/>
    <w:rsid w:val="00CE5E7A"/>
    <w:rsid w:val="00D84026"/>
    <w:rsid w:val="00D929D0"/>
    <w:rsid w:val="00D94CAF"/>
    <w:rsid w:val="00DC0F36"/>
    <w:rsid w:val="00E07F33"/>
    <w:rsid w:val="00E21287"/>
    <w:rsid w:val="00E2370C"/>
    <w:rsid w:val="00E33348"/>
    <w:rsid w:val="00E46BBF"/>
    <w:rsid w:val="00E52BB1"/>
    <w:rsid w:val="00EA506B"/>
    <w:rsid w:val="00EA6FA1"/>
    <w:rsid w:val="00EE28C9"/>
    <w:rsid w:val="00F57CD5"/>
    <w:rsid w:val="00F67E37"/>
    <w:rsid w:val="00F71FFE"/>
    <w:rsid w:val="00F94E7E"/>
    <w:rsid w:val="09682223"/>
    <w:rsid w:val="134470C2"/>
    <w:rsid w:val="18904AED"/>
    <w:rsid w:val="22946BE9"/>
    <w:rsid w:val="22C30AEF"/>
    <w:rsid w:val="275313B8"/>
    <w:rsid w:val="38A943F0"/>
    <w:rsid w:val="3D355888"/>
    <w:rsid w:val="4C331C66"/>
    <w:rsid w:val="62AF289C"/>
    <w:rsid w:val="64CE6917"/>
    <w:rsid w:val="751327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9B33CC6"/>
  <w15:docId w15:val="{1778676B-AB7A-40C1-8028-950669ECD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eferincomentariu">
    <w:name w:val="annotation reference"/>
    <w:basedOn w:val="Fontdeparagrafimplicit"/>
    <w:uiPriority w:val="99"/>
    <w:semiHidden/>
    <w:unhideWhenUsed/>
    <w:qFormat/>
    <w:rPr>
      <w:sz w:val="16"/>
      <w:szCs w:val="16"/>
    </w:rPr>
  </w:style>
  <w:style w:type="paragraph" w:styleId="Textcomentariu">
    <w:name w:val="annotation text"/>
    <w:basedOn w:val="Normal"/>
    <w:link w:val="TextcomentariuCaracter"/>
    <w:uiPriority w:val="99"/>
    <w:semiHidden/>
    <w:unhideWhenUsed/>
    <w:qFormat/>
    <w:pPr>
      <w:spacing w:line="240" w:lineRule="auto"/>
    </w:pPr>
    <w:rPr>
      <w:sz w:val="20"/>
      <w:szCs w:val="20"/>
    </w:rPr>
  </w:style>
  <w:style w:type="paragraph" w:styleId="SubiectComentariu">
    <w:name w:val="annotation subject"/>
    <w:basedOn w:val="Textcomentariu"/>
    <w:next w:val="Textcomentariu"/>
    <w:link w:val="SubiectComentariuCaracter"/>
    <w:uiPriority w:val="99"/>
    <w:semiHidden/>
    <w:unhideWhenUsed/>
    <w:qFormat/>
    <w:rPr>
      <w:b/>
      <w:bCs/>
    </w:rPr>
  </w:style>
  <w:style w:type="paragraph" w:styleId="Subsol">
    <w:name w:val="footer"/>
    <w:basedOn w:val="Normal"/>
    <w:link w:val="SubsolCaracter"/>
    <w:uiPriority w:val="99"/>
    <w:unhideWhenUsed/>
    <w:qFormat/>
    <w:pPr>
      <w:tabs>
        <w:tab w:val="center" w:pos="4680"/>
        <w:tab w:val="right" w:pos="9360"/>
      </w:tabs>
      <w:spacing w:after="0" w:line="240" w:lineRule="auto"/>
    </w:pPr>
  </w:style>
  <w:style w:type="character" w:styleId="Referinnotdesubsol">
    <w:name w:val="footnote reference"/>
    <w:uiPriority w:val="99"/>
    <w:qFormat/>
    <w:rPr>
      <w:vertAlign w:val="superscript"/>
    </w:rPr>
  </w:style>
  <w:style w:type="paragraph" w:styleId="Textnotdesubsol">
    <w:name w:val="footnote text"/>
    <w:basedOn w:val="Normal"/>
    <w:link w:val="TextnotdesubsolCaracter"/>
    <w:uiPriority w:val="99"/>
    <w:unhideWhenUsed/>
    <w:qFormat/>
    <w:pPr>
      <w:spacing w:after="0" w:line="240" w:lineRule="auto"/>
    </w:pPr>
    <w:rPr>
      <w:sz w:val="20"/>
      <w:szCs w:val="20"/>
      <w:lang w:val="en-GB"/>
    </w:rPr>
  </w:style>
  <w:style w:type="paragraph" w:styleId="Antet">
    <w:name w:val="header"/>
    <w:basedOn w:val="Normal"/>
    <w:link w:val="AntetCaracter"/>
    <w:uiPriority w:val="99"/>
    <w:unhideWhenUsed/>
    <w:qFormat/>
    <w:pPr>
      <w:tabs>
        <w:tab w:val="center" w:pos="4680"/>
        <w:tab w:val="right" w:pos="9360"/>
      </w:tabs>
      <w:spacing w:after="0" w:line="240" w:lineRule="auto"/>
    </w:pPr>
  </w:style>
  <w:style w:type="character" w:styleId="Hyperlink">
    <w:name w:val="Hyperlink"/>
    <w:basedOn w:val="Fontdeparagrafimplicit"/>
    <w:uiPriority w:val="99"/>
    <w:semiHidden/>
    <w:unhideWhenUsed/>
    <w:qFormat/>
    <w:rPr>
      <w:color w:val="0000FF"/>
      <w:u w:val="single"/>
    </w:rPr>
  </w:style>
  <w:style w:type="character" w:customStyle="1" w:styleId="salnttl">
    <w:name w:val="s_aln_ttl"/>
    <w:basedOn w:val="Fontdeparagrafimplicit"/>
    <w:qFormat/>
  </w:style>
  <w:style w:type="character" w:customStyle="1" w:styleId="salnbdy">
    <w:name w:val="s_aln_bdy"/>
    <w:basedOn w:val="Fontdeparagrafimplicit"/>
  </w:style>
  <w:style w:type="character" w:customStyle="1" w:styleId="slit">
    <w:name w:val="s_lit"/>
    <w:basedOn w:val="Fontdeparagrafimplicit"/>
  </w:style>
  <w:style w:type="character" w:customStyle="1" w:styleId="slitttl">
    <w:name w:val="s_lit_ttl"/>
    <w:basedOn w:val="Fontdeparagrafimplicit"/>
  </w:style>
  <w:style w:type="character" w:customStyle="1" w:styleId="slitbdy">
    <w:name w:val="s_lit_bdy"/>
    <w:basedOn w:val="Fontdeparagrafimplicit"/>
    <w:qFormat/>
  </w:style>
  <w:style w:type="character" w:customStyle="1" w:styleId="slgi">
    <w:name w:val="s_lgi"/>
    <w:basedOn w:val="Fontdeparagrafimplicit"/>
    <w:qFormat/>
  </w:style>
  <w:style w:type="character" w:customStyle="1" w:styleId="spar">
    <w:name w:val="s_par"/>
    <w:basedOn w:val="Fontdeparagrafimplicit"/>
    <w:qFormat/>
  </w:style>
  <w:style w:type="paragraph" w:customStyle="1" w:styleId="Default">
    <w:name w:val="Default"/>
    <w:qFormat/>
    <w:pPr>
      <w:autoSpaceDE w:val="0"/>
      <w:autoSpaceDN w:val="0"/>
      <w:adjustRightInd w:val="0"/>
    </w:pPr>
    <w:rPr>
      <w:rFonts w:ascii="Times New Roman" w:hAnsi="Times New Roman" w:cs="Times New Roman"/>
      <w:color w:val="000000"/>
      <w:sz w:val="24"/>
      <w:szCs w:val="24"/>
      <w:lang w:val="en-US" w:eastAsia="en-US"/>
    </w:rPr>
  </w:style>
  <w:style w:type="character" w:customStyle="1" w:styleId="l5def1">
    <w:name w:val="l5def1"/>
    <w:basedOn w:val="Fontdeparagrafimplicit"/>
    <w:rPr>
      <w:rFonts w:ascii="Arial" w:hAnsi="Arial" w:cs="Arial" w:hint="default"/>
      <w:color w:val="000000"/>
      <w:sz w:val="26"/>
      <w:szCs w:val="26"/>
    </w:rPr>
  </w:style>
  <w:style w:type="character" w:customStyle="1" w:styleId="l5def2">
    <w:name w:val="l5def2"/>
    <w:basedOn w:val="Fontdeparagrafimplicit"/>
    <w:rPr>
      <w:rFonts w:ascii="Arial" w:hAnsi="Arial" w:cs="Arial" w:hint="default"/>
      <w:color w:val="000000"/>
      <w:sz w:val="26"/>
      <w:szCs w:val="26"/>
    </w:rPr>
  </w:style>
  <w:style w:type="character" w:customStyle="1" w:styleId="spubbdy">
    <w:name w:val="s_pub_bdy"/>
    <w:basedOn w:val="Fontdeparagrafimplicit"/>
    <w:qFormat/>
  </w:style>
  <w:style w:type="paragraph" w:styleId="Listparagraf">
    <w:name w:val="List Paragraph"/>
    <w:basedOn w:val="Normal"/>
    <w:uiPriority w:val="34"/>
    <w:qFormat/>
    <w:pPr>
      <w:ind w:left="720"/>
      <w:contextualSpacing/>
    </w:pPr>
  </w:style>
  <w:style w:type="character" w:customStyle="1" w:styleId="AntetCaracter">
    <w:name w:val="Antet Caracter"/>
    <w:basedOn w:val="Fontdeparagrafimplicit"/>
    <w:link w:val="Antet"/>
    <w:uiPriority w:val="99"/>
    <w:qFormat/>
  </w:style>
  <w:style w:type="character" w:customStyle="1" w:styleId="SubsolCaracter">
    <w:name w:val="Subsol Caracter"/>
    <w:basedOn w:val="Fontdeparagrafimplicit"/>
    <w:link w:val="Subsol"/>
    <w:uiPriority w:val="99"/>
    <w:qFormat/>
  </w:style>
  <w:style w:type="character" w:customStyle="1" w:styleId="TextcomentariuCaracter">
    <w:name w:val="Text comentariu Caracter"/>
    <w:basedOn w:val="Fontdeparagrafimplicit"/>
    <w:link w:val="Textcomentariu"/>
    <w:uiPriority w:val="99"/>
    <w:semiHidden/>
    <w:qFormat/>
    <w:rPr>
      <w:sz w:val="20"/>
      <w:szCs w:val="20"/>
    </w:rPr>
  </w:style>
  <w:style w:type="character" w:customStyle="1" w:styleId="SubiectComentariuCaracter">
    <w:name w:val="Subiect Comentariu Caracter"/>
    <w:basedOn w:val="TextcomentariuCaracter"/>
    <w:link w:val="SubiectComentariu"/>
    <w:uiPriority w:val="99"/>
    <w:semiHidden/>
    <w:qFormat/>
    <w:rPr>
      <w:b/>
      <w:bCs/>
      <w:sz w:val="20"/>
      <w:szCs w:val="20"/>
    </w:rPr>
  </w:style>
  <w:style w:type="paragraph" w:customStyle="1" w:styleId="al">
    <w:name w:val="a_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vizuire1">
    <w:name w:val="Revizuire1"/>
    <w:hidden/>
    <w:uiPriority w:val="99"/>
    <w:semiHidden/>
    <w:qFormat/>
    <w:rPr>
      <w:sz w:val="22"/>
      <w:szCs w:val="22"/>
      <w:lang w:val="en-US" w:eastAsia="en-US"/>
    </w:rPr>
  </w:style>
  <w:style w:type="character" w:customStyle="1" w:styleId="TextnotdesubsolCaracter">
    <w:name w:val="Text notă de subsol Caracter"/>
    <w:basedOn w:val="Fontdeparagrafimplicit"/>
    <w:link w:val="Textnotdesubsol"/>
    <w:uiPriority w:val="99"/>
    <w:qFormat/>
    <w:rPr>
      <w:lang w:val="en-GB"/>
    </w:rPr>
  </w:style>
  <w:style w:type="paragraph" w:customStyle="1" w:styleId="Revision1">
    <w:name w:val="Revision1"/>
    <w:hidden/>
    <w:uiPriority w:val="99"/>
    <w:semiHidden/>
    <w:qFormat/>
    <w:rPr>
      <w:sz w:val="22"/>
      <w:szCs w:val="22"/>
      <w:lang w:val="en-US" w:eastAsia="en-US"/>
    </w:rPr>
  </w:style>
  <w:style w:type="paragraph" w:styleId="Revizuire">
    <w:name w:val="Revision"/>
    <w:hidden/>
    <w:uiPriority w:val="99"/>
    <w:semiHidden/>
    <w:rsid w:val="00116305"/>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47355"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758</Words>
  <Characters>4327</Characters>
  <Application>Microsoft Office Word</Application>
  <DocSecurity>0</DocSecurity>
  <Lines>36</Lines>
  <Paragraphs>10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 Iacob</dc:creator>
  <cp:lastModifiedBy>Monica.Popescu.MMAP</cp:lastModifiedBy>
  <cp:revision>21</cp:revision>
  <cp:lastPrinted>2022-09-28T09:04:00Z</cp:lastPrinted>
  <dcterms:created xsi:type="dcterms:W3CDTF">2022-04-13T10:18:00Z</dcterms:created>
  <dcterms:modified xsi:type="dcterms:W3CDTF">2022-09-28T09:05:00Z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1033-11.2.0.11306</vt:lpwstr>
  </property>
  <property fmtid="{D5CDD505-2E9C-101B-9397-08002B2CF9AE}" pid="3" name="ICV">
    <vt:lpwstr>D5EE83EB23A94109BD1D4D796C58FBF5</vt:lpwstr>
  </property>
</Properties>
</file>