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12" w:rsidRDefault="00AB2812">
      <w:pPr>
        <w:spacing w:after="0"/>
        <w:jc w:val="center"/>
        <w:rPr>
          <w:rFonts w:ascii="Times New Roman" w:hAnsi="Times New Roman"/>
          <w:b/>
          <w:sz w:val="24"/>
          <w:szCs w:val="24"/>
        </w:rPr>
      </w:pPr>
    </w:p>
    <w:p w:rsidR="00AB2812" w:rsidRDefault="00A50DA9">
      <w:pPr>
        <w:spacing w:after="0"/>
        <w:jc w:val="center"/>
        <w:rPr>
          <w:rFonts w:ascii="Times New Roman" w:hAnsi="Times New Roman"/>
          <w:b/>
          <w:sz w:val="24"/>
          <w:szCs w:val="24"/>
        </w:rPr>
      </w:pPr>
      <w:r>
        <w:rPr>
          <w:rFonts w:ascii="Times New Roman" w:hAnsi="Times New Roman"/>
          <w:b/>
          <w:sz w:val="24"/>
          <w:szCs w:val="24"/>
        </w:rPr>
        <w:t>NOTĂ DE FUNDAMENTARE</w:t>
      </w:r>
    </w:p>
    <w:p w:rsidR="00AB2812" w:rsidRDefault="00AB2812">
      <w:pPr>
        <w:spacing w:after="0"/>
        <w:jc w:val="center"/>
        <w:rPr>
          <w:rFonts w:ascii="Times New Roman" w:hAnsi="Times New Roman"/>
          <w:b/>
          <w:sz w:val="24"/>
          <w:szCs w:val="24"/>
        </w:rPr>
      </w:pPr>
    </w:p>
    <w:p w:rsidR="00AB2812" w:rsidRDefault="00AB2812">
      <w:pPr>
        <w:spacing w:after="0"/>
        <w:jc w:val="center"/>
        <w:rPr>
          <w:rFonts w:ascii="Times New Roman" w:hAnsi="Times New Roman"/>
          <w:b/>
          <w:sz w:val="24"/>
          <w:szCs w:val="24"/>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1393"/>
        <w:gridCol w:w="5822"/>
      </w:tblGrid>
      <w:tr w:rsidR="00AB2812">
        <w:trPr>
          <w:trHeight w:val="990"/>
        </w:trPr>
        <w:tc>
          <w:tcPr>
            <w:tcW w:w="9781" w:type="dxa"/>
            <w:gridSpan w:val="3"/>
            <w:shd w:val="clear" w:color="auto" w:fill="auto"/>
          </w:tcPr>
          <w:p w:rsidR="00AB2812" w:rsidRDefault="00AB2812">
            <w:pPr>
              <w:spacing w:after="0"/>
              <w:jc w:val="center"/>
              <w:rPr>
                <w:rFonts w:ascii="Times New Roman" w:hAnsi="Times New Roman"/>
                <w:b/>
                <w:sz w:val="24"/>
                <w:szCs w:val="24"/>
              </w:rPr>
            </w:pPr>
          </w:p>
          <w:p w:rsidR="00AB2812" w:rsidRDefault="00A50DA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Secţiunea 1</w:t>
            </w:r>
            <w:r>
              <w:rPr>
                <w:rFonts w:ascii="Times New Roman" w:hAnsi="Times New Roman"/>
                <w:sz w:val="24"/>
                <w:szCs w:val="24"/>
              </w:rPr>
              <w:t xml:space="preserve">. </w:t>
            </w:r>
            <w:r>
              <w:rPr>
                <w:rFonts w:ascii="Times New Roman" w:hAnsi="Times New Roman"/>
                <w:b/>
                <w:sz w:val="24"/>
                <w:szCs w:val="24"/>
              </w:rPr>
              <w:t>Titlul proiectului de act normativ</w:t>
            </w:r>
          </w:p>
          <w:p w:rsidR="00AB2812" w:rsidRDefault="00AB2812">
            <w:pPr>
              <w:autoSpaceDE w:val="0"/>
              <w:autoSpaceDN w:val="0"/>
              <w:adjustRightInd w:val="0"/>
              <w:spacing w:after="0" w:line="240" w:lineRule="auto"/>
              <w:jc w:val="center"/>
              <w:rPr>
                <w:rFonts w:ascii="Times New Roman" w:hAnsi="Times New Roman"/>
                <w:b/>
                <w:sz w:val="24"/>
                <w:szCs w:val="24"/>
              </w:rPr>
            </w:pPr>
          </w:p>
          <w:p w:rsidR="00AB2812" w:rsidRDefault="00A50DA9">
            <w:pPr>
              <w:spacing w:after="0"/>
              <w:jc w:val="center"/>
              <w:rPr>
                <w:rFonts w:ascii="Times New Roman" w:hAnsi="Times New Roman"/>
                <w:b/>
                <w:bCs/>
                <w:sz w:val="24"/>
                <w:szCs w:val="24"/>
              </w:rPr>
            </w:pPr>
            <w:r>
              <w:rPr>
                <w:rFonts w:ascii="Times New Roman" w:hAnsi="Times New Roman"/>
                <w:b/>
                <w:bCs/>
                <w:sz w:val="24"/>
                <w:szCs w:val="24"/>
              </w:rPr>
              <w:t>HOTĂRÂRE</w:t>
            </w:r>
          </w:p>
          <w:p w:rsidR="00AB2812" w:rsidRDefault="00A50DA9">
            <w:pPr>
              <w:spacing w:after="0"/>
              <w:jc w:val="center"/>
              <w:rPr>
                <w:rFonts w:ascii="Times New Roman" w:hAnsi="Times New Roman"/>
                <w:b/>
                <w:bCs/>
                <w:sz w:val="24"/>
                <w:szCs w:val="24"/>
              </w:rPr>
            </w:pPr>
            <w:r>
              <w:rPr>
                <w:rFonts w:ascii="Times New Roman" w:hAnsi="Times New Roman"/>
                <w:b/>
                <w:bCs/>
                <w:sz w:val="24"/>
                <w:szCs w:val="24"/>
              </w:rPr>
              <w:t xml:space="preserve">pentru aprobarea bugetului de venituri şi cheltuieli pe anul 2018 al Fondului pentru mediu şi al Administraţiei Fondului pentru Mediu, </w:t>
            </w:r>
            <w:r w:rsidR="00986868">
              <w:rPr>
                <w:rFonts w:ascii="Times New Roman" w:hAnsi="Times New Roman"/>
                <w:b/>
                <w:bCs/>
                <w:sz w:val="24"/>
                <w:szCs w:val="24"/>
              </w:rPr>
              <w:t>rectificat</w:t>
            </w:r>
          </w:p>
          <w:p w:rsidR="00AB2812" w:rsidRDefault="00AB2812">
            <w:pPr>
              <w:spacing w:after="0"/>
              <w:jc w:val="both"/>
              <w:rPr>
                <w:rFonts w:ascii="Times New Roman" w:hAnsi="Times New Roman"/>
                <w:b/>
                <w:bCs/>
                <w:sz w:val="24"/>
                <w:szCs w:val="24"/>
              </w:rPr>
            </w:pPr>
          </w:p>
        </w:tc>
      </w:tr>
      <w:tr w:rsidR="00AB2812">
        <w:trPr>
          <w:trHeight w:val="990"/>
        </w:trPr>
        <w:tc>
          <w:tcPr>
            <w:tcW w:w="9781" w:type="dxa"/>
            <w:gridSpan w:val="3"/>
            <w:shd w:val="clear" w:color="auto" w:fill="auto"/>
          </w:tcPr>
          <w:p w:rsidR="00AB2812" w:rsidRDefault="00AB2812">
            <w:pPr>
              <w:spacing w:after="0"/>
              <w:jc w:val="center"/>
              <w:rPr>
                <w:rFonts w:ascii="Times New Roman" w:hAnsi="Times New Roman"/>
                <w:b/>
                <w:sz w:val="24"/>
                <w:szCs w:val="24"/>
              </w:rPr>
            </w:pPr>
          </w:p>
          <w:p w:rsidR="00AB2812" w:rsidRDefault="00A50DA9">
            <w:pPr>
              <w:spacing w:after="0"/>
              <w:jc w:val="center"/>
              <w:rPr>
                <w:rFonts w:ascii="Times New Roman" w:hAnsi="Times New Roman"/>
                <w:b/>
                <w:sz w:val="24"/>
                <w:szCs w:val="24"/>
              </w:rPr>
            </w:pPr>
            <w:r>
              <w:rPr>
                <w:rFonts w:ascii="Times New Roman" w:hAnsi="Times New Roman"/>
                <w:b/>
                <w:sz w:val="24"/>
                <w:szCs w:val="24"/>
              </w:rPr>
              <w:t>Secţiunea a 2-a</w:t>
            </w:r>
          </w:p>
          <w:p w:rsidR="00AB2812" w:rsidRDefault="00A50DA9">
            <w:pPr>
              <w:spacing w:after="0"/>
              <w:jc w:val="center"/>
              <w:rPr>
                <w:rFonts w:ascii="Times New Roman" w:hAnsi="Times New Roman"/>
                <w:b/>
                <w:sz w:val="24"/>
                <w:szCs w:val="24"/>
              </w:rPr>
            </w:pPr>
            <w:r>
              <w:rPr>
                <w:rFonts w:ascii="Times New Roman" w:hAnsi="Times New Roman"/>
                <w:b/>
                <w:sz w:val="24"/>
                <w:szCs w:val="24"/>
              </w:rPr>
              <w:t>Motivul emiterii prezentului act normativ</w:t>
            </w:r>
          </w:p>
          <w:p w:rsidR="00AB2812" w:rsidRDefault="00A50DA9">
            <w:pPr>
              <w:spacing w:after="0"/>
              <w:jc w:val="center"/>
              <w:rPr>
                <w:rFonts w:ascii="Times New Roman" w:hAnsi="Times New Roman"/>
                <w:b/>
                <w:sz w:val="24"/>
                <w:szCs w:val="24"/>
              </w:rPr>
            </w:pPr>
            <w:r>
              <w:rPr>
                <w:rFonts w:ascii="Times New Roman" w:hAnsi="Times New Roman"/>
                <w:b/>
                <w:sz w:val="24"/>
                <w:szCs w:val="24"/>
              </w:rPr>
              <w:t xml:space="preserve">        </w:t>
            </w:r>
          </w:p>
        </w:tc>
      </w:tr>
      <w:tr w:rsidR="00AB2812">
        <w:tc>
          <w:tcPr>
            <w:tcW w:w="2566" w:type="dxa"/>
            <w:shd w:val="clear" w:color="auto" w:fill="auto"/>
          </w:tcPr>
          <w:p w:rsidR="00AB2812" w:rsidRDefault="00A50DA9">
            <w:pPr>
              <w:pStyle w:val="ListParagraph"/>
              <w:numPr>
                <w:ilvl w:val="0"/>
                <w:numId w:val="26"/>
              </w:numPr>
              <w:spacing w:after="0"/>
              <w:ind w:left="0" w:firstLine="0"/>
              <w:jc w:val="both"/>
              <w:rPr>
                <w:rFonts w:ascii="Times New Roman" w:hAnsi="Times New Roman"/>
                <w:b/>
                <w:sz w:val="24"/>
                <w:szCs w:val="24"/>
              </w:rPr>
            </w:pPr>
            <w:r>
              <w:rPr>
                <w:rFonts w:ascii="Times New Roman" w:hAnsi="Times New Roman"/>
                <w:b/>
                <w:sz w:val="24"/>
                <w:szCs w:val="24"/>
              </w:rPr>
              <w:t xml:space="preserve">Descrierea situaţiei actuale   </w:t>
            </w:r>
          </w:p>
        </w:tc>
        <w:tc>
          <w:tcPr>
            <w:tcW w:w="7215" w:type="dxa"/>
            <w:gridSpan w:val="2"/>
            <w:shd w:val="clear" w:color="auto" w:fill="auto"/>
          </w:tcPr>
          <w:p w:rsidR="00AB2812" w:rsidRDefault="00A50DA9">
            <w:pPr>
              <w:spacing w:line="240" w:lineRule="auto"/>
              <w:jc w:val="both"/>
              <w:rPr>
                <w:rFonts w:ascii="Times New Roman" w:hAnsi="Times New Roman"/>
                <w:bCs/>
                <w:sz w:val="24"/>
                <w:szCs w:val="24"/>
              </w:rPr>
            </w:pPr>
            <w:r>
              <w:rPr>
                <w:rFonts w:ascii="Times New Roman" w:hAnsi="Times New Roman"/>
                <w:sz w:val="24"/>
                <w:szCs w:val="24"/>
              </w:rPr>
              <w:t xml:space="preserve">Administraţia Fondului pentru Mediu este instituţie publică aflată în coordonarea Ministerului Mediului, finanţată integral din venituri proprii, conform </w:t>
            </w:r>
            <w:r>
              <w:rPr>
                <w:rFonts w:ascii="Times New Roman" w:hAnsi="Times New Roman"/>
                <w:sz w:val="24"/>
                <w:szCs w:val="24"/>
                <w:lang w:eastAsia="ro-RO"/>
              </w:rPr>
              <w:t>Ordonanţei de urgenţă a Guvernului nr. 196/2005 privind Fondul pentru mediu, aprobată cu modificări şi completări prin Legea nr. 105/2006, cu modificările şi completările ulterioare</w:t>
            </w:r>
            <w:r>
              <w:rPr>
                <w:rFonts w:ascii="Times New Roman" w:hAnsi="Times New Roman"/>
                <w:sz w:val="24"/>
                <w:szCs w:val="24"/>
              </w:rPr>
              <w:t xml:space="preserve">. </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Necesitatea rectificării bugetului de venituri și cheltuieli al Fondului pentru mediu și al Administrației Fondului pentru Mediu pentru anul 2018 este justificată prin:</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1.Modificarea prevederilor legale referitoare la constituirea și utilizarea bugetului Fondului pentru mediu și al Administrației Fondului pentru Mediu pe anul 2018 aprobat prin H.G. nr. 56/2018, prin aplicarea prevederilor Ordonanței de urgență a Guvernului nr. 37/2018 pentru modificarea şi completarea Ordonanței de urgență a Guvernului nr. 115/2011 privind stabilirea cadrului instituţional şi autorizarea Guvernului, prin Ministerul Finanţelor Publice, de a scoate la licitaţie certificatele de emisii de gaze cu efect de seră atribuite României  la nivelul Uniunii Europene care a generat modificarea veniturilor și cheltuielilor la bugetul Fondului pentru mediu și al Administrației Fondului pentru Mediu;</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2. Introducerea în buget a  sursei ”</w:t>
            </w:r>
            <w:r>
              <w:rPr>
                <w:rFonts w:ascii="Times New Roman" w:hAnsi="Times New Roman"/>
                <w:i/>
                <w:sz w:val="24"/>
                <w:szCs w:val="24"/>
              </w:rPr>
              <w:t xml:space="preserve">Venituri din vânzarea certificatelor de emisii de gaze cu efect de seră </w:t>
            </w:r>
            <w:r>
              <w:rPr>
                <w:rFonts w:ascii="Times New Roman" w:hAnsi="Times New Roman"/>
                <w:sz w:val="24"/>
                <w:szCs w:val="24"/>
              </w:rPr>
              <w:t>”, în baza prevederilor O.U.G. nr.                   37 /2018 pentru modificarea şi completarea O.U.G.  nr. 115/2011  privind stabilirea cadrului instituţional şi autorizarea Guvernului, prin Ministerul Finanţelor Publice, de a scoate la licitaţie certificatele de emisii de gaze cu efect de seră atribuite României  la nivelul Uniunii Europene;</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3.Modificarea ”</w:t>
            </w:r>
            <w:r>
              <w:rPr>
                <w:rFonts w:ascii="Times New Roman" w:hAnsi="Times New Roman"/>
                <w:b/>
                <w:sz w:val="24"/>
                <w:szCs w:val="24"/>
              </w:rPr>
              <w:t>Listei sumelor alocate proiectelor și programelor finanțate din Fondul pentru mediu</w:t>
            </w:r>
            <w:r>
              <w:rPr>
                <w:rFonts w:ascii="Times New Roman" w:hAnsi="Times New Roman"/>
                <w:sz w:val="24"/>
                <w:szCs w:val="24"/>
              </w:rPr>
              <w:t>” - anexa nr. 2 la programul aprobat prin Hotărârea Guvernului  nr. 56/2018</w:t>
            </w:r>
            <w:r>
              <w:t xml:space="preserve"> </w:t>
            </w:r>
            <w:r>
              <w:rPr>
                <w:rFonts w:ascii="Times New Roman" w:hAnsi="Times New Roman"/>
                <w:sz w:val="26"/>
                <w:szCs w:val="26"/>
              </w:rPr>
              <w:t>pentru aprobarea</w:t>
            </w:r>
            <w:r>
              <w:t xml:space="preserve"> </w:t>
            </w:r>
            <w:r>
              <w:rPr>
                <w:rFonts w:ascii="Times New Roman" w:hAnsi="Times New Roman"/>
                <w:sz w:val="24"/>
                <w:szCs w:val="24"/>
              </w:rPr>
              <w:t xml:space="preserve">bugetului de venituri şi cheltuieli pe anul 2018 al Fondului pentru mediu şi al Administraţiei Fondului pentru Mediu, care devine anexa nr. 2a la proiectul de buget rectificat; </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4. Suplimentarea sursei de finanțare a cheltuielilor finanțate din Fondu</w:t>
            </w:r>
            <w:r w:rsidR="00876DB9">
              <w:rPr>
                <w:rFonts w:ascii="Times New Roman" w:hAnsi="Times New Roman"/>
                <w:sz w:val="24"/>
                <w:szCs w:val="24"/>
              </w:rPr>
              <w:t xml:space="preserve">l </w:t>
            </w:r>
            <w:r w:rsidR="00876DB9">
              <w:rPr>
                <w:rFonts w:ascii="Times New Roman" w:hAnsi="Times New Roman"/>
                <w:sz w:val="24"/>
                <w:szCs w:val="24"/>
              </w:rPr>
              <w:lastRenderedPageBreak/>
              <w:t xml:space="preserve">pentru mediu și introducerea </w:t>
            </w:r>
            <w:r>
              <w:rPr>
                <w:rFonts w:ascii="Times New Roman" w:hAnsi="Times New Roman"/>
                <w:sz w:val="24"/>
                <w:szCs w:val="24"/>
              </w:rPr>
              <w:t>în bugetul Fondului pentru mediu a  ”</w:t>
            </w:r>
            <w:r>
              <w:rPr>
                <w:rFonts w:ascii="Times New Roman" w:hAnsi="Times New Roman"/>
                <w:b/>
                <w:sz w:val="24"/>
                <w:szCs w:val="24"/>
              </w:rPr>
              <w:t>Listei sumelor alocate categoriilor de proiecte prioritare finanțate din Fondul pentru mediu</w:t>
            </w:r>
            <w:r w:rsidR="00876DB9">
              <w:rPr>
                <w:rFonts w:ascii="Times New Roman" w:hAnsi="Times New Roman"/>
                <w:b/>
                <w:sz w:val="24"/>
                <w:szCs w:val="24"/>
              </w:rPr>
              <w:t xml:space="preserve"> în anul 2018</w:t>
            </w:r>
            <w:r>
              <w:rPr>
                <w:rFonts w:ascii="Times New Roman" w:hAnsi="Times New Roman"/>
                <w:b/>
                <w:sz w:val="24"/>
                <w:szCs w:val="24"/>
              </w:rPr>
              <w:t>”</w:t>
            </w:r>
            <w:r>
              <w:rPr>
                <w:rFonts w:ascii="Times New Roman" w:hAnsi="Times New Roman"/>
                <w:sz w:val="24"/>
                <w:szCs w:val="24"/>
              </w:rPr>
              <w:t>, care devine anexa nr.2b la proiectul de buget rectificat, având ca sursă distinctă ”</w:t>
            </w:r>
            <w:r>
              <w:rPr>
                <w:rFonts w:ascii="Times New Roman" w:hAnsi="Times New Roman"/>
                <w:i/>
                <w:sz w:val="24"/>
                <w:szCs w:val="24"/>
              </w:rPr>
              <w:t>Venituri din vânzarea certificatelor de emisii de gaze cu efect de seră</w:t>
            </w:r>
            <w:r>
              <w:rPr>
                <w:rFonts w:ascii="Times New Roman" w:hAnsi="Times New Roman"/>
                <w:sz w:val="24"/>
                <w:szCs w:val="24"/>
              </w:rPr>
              <w:t>”, conform prevederilor O.U.G. nr. 37/2018 pentru modificarea şi completarea O.U.G. nr. 115/2011 privind stabilirea cadrului instituţional şi autorizarea Guvernului, prin Ministerul Finanţelor Publice, de a scoate la licitaţie certificatele de emisii de gaze cu efect de seră atribuite României  la nivelul Uniunii Europene și în temeiul Ordinului ministrului mediului nr. 725/10.0.2018;</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5.Necesitatea suplimentării sumei destinate restituirii sumelor reprezentând taxa specială pentru autoturisme şi autovehicule, taxa pe poluare pentru autovehicule, taxa pentru emisiile poluante provenite de la autovehicule şi timbrul de mediu pentru autovehicule în temeiul Ordonanţei de urgenţă a Guvernului nr. 52/2017 privind restituirea sumelor reprezentând taxa specială pentru autoturisme şi autovehicule, taxa pe poluare pentru autovehicule, taxa pentru emisiile poluante provenite de la autovehicule şi timbrul de mediu pentru autovehicule, cu completările ulterioare, precum şi al Ordinului viceprim-ministrului, ministrul mediului, şi al ministrului finanţelor publice nr. 1.488/3.198/2017 de aprobare a Normelor metodologice de aplicare a Ordonanţei de urgenţă nr. 52/2017 privind restituirea sumelor reprezentând taxa specială pentru autoturisme şi autovehicule, taxa pe poluare pentru autovehicule, taxa pentru emisiile poluante provenite de la autovehicule şi timbrul de mediu pentru autovehicule, cu modificările și completările ulterioare;</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6.Suplimentarea sursei de finanțare a cheltuielilor curente și de capital ale Fondului Administrației Fondului pentru Mediu, cu sumele reținute în cota de până la 5% din sumele virate potrivit art.10 alin (1) lit.b) și art.11 alin (1) lit.b)  din O.U.G.  nr. 115/2011, conform prevederilor art. 15^6 din O.U.G. nr. 37 /2018 pentru modificarea şi completarea O.U.G.  nr. 115/2011 privind stabilirea cadrului instituţional şi autorizarea Guvernului, prin Ministerul Finanţelor Publice, de a scoate la licitaţie certificatele de emisii de gaze cu efect de seră atribuite României  la nivelul Uniunii Europene;</w:t>
            </w:r>
          </w:p>
          <w:p w:rsidR="00AB2812" w:rsidRDefault="00A50DA9">
            <w:pPr>
              <w:spacing w:line="240" w:lineRule="auto"/>
              <w:jc w:val="both"/>
              <w:rPr>
                <w:rFonts w:ascii="Times New Roman" w:hAnsi="Times New Roman"/>
                <w:sz w:val="24"/>
                <w:szCs w:val="24"/>
              </w:rPr>
            </w:pPr>
            <w:r>
              <w:rPr>
                <w:rFonts w:ascii="Times New Roman" w:hAnsi="Times New Roman"/>
                <w:sz w:val="24"/>
                <w:szCs w:val="24"/>
              </w:rPr>
              <w:t xml:space="preserve"> 7. Majorarea cheltuielilor curente și de capital finanțate din Fondul Administrației Fondului pentru Mediu,  în scopul asigurării condițiilor necesare desfășurării  activități instituței, pe articolele bugetare la care nu au fost alocate suficiente resurse financiare prin bugetul aprobat, cu respectarea principiului utilizării eficiente a fondurilor publice prin gestionarea responsabilă a resurselor financiare.</w:t>
            </w:r>
          </w:p>
        </w:tc>
      </w:tr>
      <w:tr w:rsidR="00AB2812">
        <w:trPr>
          <w:trHeight w:val="1522"/>
        </w:trPr>
        <w:tc>
          <w:tcPr>
            <w:tcW w:w="2566" w:type="dxa"/>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vertAlign w:val="superscript"/>
              </w:rPr>
              <w:t>1</w:t>
            </w:r>
            <w:r>
              <w:rPr>
                <w:rFonts w:ascii="Times New Roman" w:hAnsi="Times New Roman"/>
                <w:sz w:val="24"/>
                <w:szCs w:val="24"/>
              </w:rPr>
              <w:t xml:space="preserve"> În cazul proiectelor de acte normative care transpun legislaţie comunitară sau creează cadrul pentru aplicarea directă a acesteia</w:t>
            </w:r>
          </w:p>
        </w:tc>
        <w:tc>
          <w:tcPr>
            <w:tcW w:w="7215" w:type="dxa"/>
            <w:gridSpan w:val="2"/>
          </w:tcPr>
          <w:p w:rsidR="00AB2812" w:rsidRDefault="00AB2812">
            <w:pPr>
              <w:spacing w:after="0"/>
              <w:jc w:val="both"/>
              <w:rPr>
                <w:rFonts w:ascii="Times New Roman" w:hAnsi="Times New Roman"/>
                <w:bCs/>
                <w:sz w:val="24"/>
                <w:szCs w:val="24"/>
              </w:rPr>
            </w:pPr>
          </w:p>
          <w:p w:rsidR="00AB2812" w:rsidRDefault="00A50DA9">
            <w:pPr>
              <w:spacing w:after="0"/>
              <w:jc w:val="both"/>
              <w:rPr>
                <w:rFonts w:ascii="Times New Roman" w:hAnsi="Times New Roman"/>
                <w:bCs/>
                <w:sz w:val="24"/>
                <w:szCs w:val="24"/>
              </w:rPr>
            </w:pPr>
            <w:r>
              <w:rPr>
                <w:rFonts w:ascii="Times New Roman" w:hAnsi="Times New Roman"/>
                <w:bCs/>
                <w:sz w:val="24"/>
                <w:szCs w:val="24"/>
              </w:rPr>
              <w:t>Proiectul de act normativ nu se referă la acest subiect.</w:t>
            </w:r>
          </w:p>
        </w:tc>
      </w:tr>
      <w:tr w:rsidR="00AB2812">
        <w:trPr>
          <w:trHeight w:val="703"/>
        </w:trPr>
        <w:tc>
          <w:tcPr>
            <w:tcW w:w="2566" w:type="dxa"/>
          </w:tcPr>
          <w:p w:rsidR="00AB2812" w:rsidRDefault="00A50DA9">
            <w:pPr>
              <w:spacing w:after="0"/>
              <w:jc w:val="both"/>
              <w:rPr>
                <w:rFonts w:ascii="Times New Roman" w:hAnsi="Times New Roman"/>
                <w:b/>
                <w:sz w:val="24"/>
                <w:szCs w:val="24"/>
              </w:rPr>
            </w:pPr>
            <w:r>
              <w:rPr>
                <w:rFonts w:ascii="Times New Roman" w:hAnsi="Times New Roman"/>
                <w:b/>
                <w:sz w:val="24"/>
                <w:szCs w:val="24"/>
              </w:rPr>
              <w:lastRenderedPageBreak/>
              <w:t>2. Schimbări preconizate</w:t>
            </w:r>
          </w:p>
        </w:tc>
        <w:tc>
          <w:tcPr>
            <w:tcW w:w="7215" w:type="dxa"/>
            <w:gridSpan w:val="2"/>
            <w:shd w:val="clear" w:color="auto" w:fill="auto"/>
          </w:tcPr>
          <w:p w:rsidR="00AB2812" w:rsidRDefault="00A50DA9">
            <w:pPr>
              <w:pStyle w:val="NoSpacing"/>
              <w:jc w:val="both"/>
            </w:pPr>
            <w:r>
              <w:tab/>
              <w:t xml:space="preserve">În temeiul prevederilor  O.U.G. nr. 196/2005 privind Fondul pentru mediu cu modificările și completările ulterioare, ale prevederilor O.U.G. nr. 37/2018 pentru modificarea şi completarea O.U.G. nr. 115/2011 și ale prevederilor Ordinului ministrului mediului nr.725/2018 pentru aprobarea listei categoriilor de proiecte prioritare pentru anul 2018, conform propunerilor compartimentelor de specialitate, valoarea totală a veniturilor estimate a fi încasate la Fondul pentru mediu în anul 2018  este în sumă de 1.120.978  mii lei, valoare modificată faţă de programul iniţial în sumă de </w:t>
            </w:r>
            <w:r w:rsidRPr="00AB2950">
              <w:t>406.242</w:t>
            </w:r>
            <w:r>
              <w:t xml:space="preserve"> mii lei, aprobat prin H.G. nr. 56/2018  și se detaliază conform anexei nr.1- rectificată, astfel: </w:t>
            </w:r>
          </w:p>
          <w:p w:rsidR="00AB2812" w:rsidRDefault="00A50DA9">
            <w:pPr>
              <w:pStyle w:val="NoSpacing"/>
              <w:jc w:val="both"/>
            </w:pPr>
            <w:r>
              <w:t>- la paragraful 18.10.50 “Alte impozite şi taxe fiscale” s-au estimat valori ale veniturilor din taxe şi contribuţii în sumă de 400.992 mii lei valoare nemodificată faţă de programul iniţial, astfel:</w:t>
            </w:r>
          </w:p>
          <w:p w:rsidR="00AB2812" w:rsidRDefault="00A50DA9">
            <w:pPr>
              <w:pStyle w:val="NoSpacing"/>
              <w:jc w:val="both"/>
            </w:pPr>
            <w:r>
              <w:t>a) o contribuţie de 3% din veniturile realizate din vânzarea deşeurilor metalice feroase şi neferoase, inclusiv a bunurilor destinate dezmembrării, obţinute de către generatorul deşeurilor, respectiv deţinătorul bunurilor, destinate dezmembrării, persoana fizică sau juridică, în sumă de 72.267 mii lei, valoare nemodificată faţă de programul iniţial;</w:t>
            </w:r>
          </w:p>
          <w:p w:rsidR="00AB2812" w:rsidRDefault="00A50DA9">
            <w:pPr>
              <w:pStyle w:val="NoSpacing"/>
              <w:jc w:val="both"/>
            </w:pPr>
            <w:r>
              <w:t>b) taxele  pentru emisiile de poluanţi în atmosferă, datorate de operatorii economici deţinători de surse staţionare a căror utilizare afectează factorii de mediu, în sumă de 8.502 mii lei, valoare nemodificată faţă de programul iniţial;</w:t>
            </w:r>
          </w:p>
          <w:p w:rsidR="00AB2812" w:rsidRDefault="00A50DA9">
            <w:pPr>
              <w:pStyle w:val="NoSpacing"/>
              <w:jc w:val="both"/>
            </w:pPr>
            <w:r>
              <w:t>c) taxele încasate de la proprietarii sau, după caz, administratorii de depozite pentru deșeurile inerte și nepericuloase încredințate de către terți în vederea estimării finale prin depozitare, în sumă de 10.000 mii lei,  valoare nemodificată faţă de programul iniţial;</w:t>
            </w:r>
          </w:p>
          <w:p w:rsidR="00AB2812" w:rsidRDefault="00A50DA9">
            <w:pPr>
              <w:pStyle w:val="NoSpacing"/>
              <w:jc w:val="both"/>
            </w:pPr>
            <w:r>
              <w:t>d) o contribuţie de 2 lei/kg, datorată de operatorii economici care introduc pe piaţa naţională bunuri ambalate, care distribuie pentru prima dată pe piaţa naţională ambalaje de desfacere şi de operatorii economici care închiriază, sub orice formă, cu titlu profesional, ambalaje, pentru diferenţa dintre cantităţile de deşeuri de ambalaje corespunzătoare obiectivelor minime de valorificare sau incinerare în instalaţii de incinerare cu recuperare de energie şi de valorificare prin reciclare şi cantităţile de deşeuri de ambalaje efectiv valorificate sau incinerate în instalaţii de incinerare cu recuperare de energie şi valorificate prin reciclare, în sumă de 72.000 mii lei valoare nemodificată faţă de programul iniţial;</w:t>
            </w:r>
          </w:p>
          <w:p w:rsidR="00AB2812" w:rsidRDefault="00A50DA9">
            <w:pPr>
              <w:pStyle w:val="NoSpacing"/>
              <w:jc w:val="both"/>
            </w:pPr>
            <w:r>
              <w:t>e) o contribuţie de 2% din valoarea substanţelor clasificate prin acte normative ca fiind periculoase pentru mediu, introduse pe piaţa naţională de către operatorii economici, în sumă de 13.861 mii lei, valoare nemodificată faţă de programul iniţial;</w:t>
            </w:r>
          </w:p>
          <w:p w:rsidR="00AB2812" w:rsidRDefault="00A50DA9">
            <w:pPr>
              <w:pStyle w:val="NoSpacing"/>
              <w:jc w:val="both"/>
            </w:pPr>
            <w:r>
              <w:t>f) o contribuţie de 2% din veniturile realizate din vânzarea masei lemnoase şi/sau a materialelor lemnoase obţinute de către administratorul, respectiv proprietarul pădurii, cu excepţia lemnelor de foc, arborilor şi arbuştilor ornamentali, pomilor de Crăciun, răchitei şi puieţilor, în sumă de  57.252 mii lei, valoare nemodificată faţă de programul iniţial;</w:t>
            </w:r>
          </w:p>
          <w:p w:rsidR="00AB2812" w:rsidRDefault="00A50DA9">
            <w:pPr>
              <w:pStyle w:val="NoSpacing"/>
              <w:jc w:val="both"/>
            </w:pPr>
            <w:r>
              <w:t xml:space="preserve">i) o contribuţie de 2 lei/kg anvelopă, datorată de operatorii economici care introduc pe piaţa naţională anvelope noi şi/sau uzate destinate reutilizării, pentru diferenţa dintre cantităţile de anvelope corespunzătoare obligaţiilor anuale de gestionare prevăzute în legislaţia în vigoare şi cantităţile efectiv gestionate, în sumă de 1.914 mii lei, </w:t>
            </w:r>
            <w:r>
              <w:lastRenderedPageBreak/>
              <w:t>valoare nemodificată faţă de programul iniţial;</w:t>
            </w:r>
          </w:p>
          <w:p w:rsidR="00AB2812" w:rsidRDefault="00A50DA9">
            <w:pPr>
              <w:pStyle w:val="NoSpacing"/>
              <w:jc w:val="both"/>
            </w:pPr>
            <w:r>
              <w:t>j) o contribuţie de 3% din suma care se încasează anual pentru gestionarea fondurilor de vânătoare, plătită de către gestionarii fondurilor de vânătoare, în sumă de 1.600 mii lei, valoare nemodificată faţă de programul iniţial;</w:t>
            </w:r>
          </w:p>
          <w:p w:rsidR="00AB2812" w:rsidRDefault="00A50DA9">
            <w:pPr>
              <w:pStyle w:val="NoSpacing"/>
              <w:jc w:val="both"/>
            </w:pPr>
            <w:r>
              <w:t>n) cuantumul taxelor  pentru emiterea avizelor, acordurilor şi a autorizaţiilor de mediu, în sumă de 151 mii lei, valoare nemodificată faţă de programul iniţial;</w:t>
            </w:r>
          </w:p>
          <w:p w:rsidR="00AB2812" w:rsidRDefault="00A50DA9">
            <w:pPr>
              <w:pStyle w:val="NoSpacing"/>
              <w:jc w:val="both"/>
            </w:pPr>
            <w:r>
              <w:t>p) o contribuţie de 100 lei/tonă, datorată de unităţile administrativ-teritoriale sau după caz, subdiviziunile administrativ teritoriale ale municipiilor, în cazul neîndeplinirii obiectivului anual de reducere cu 15% a cantităţilor de deşeuri eliminate prin depozitare din deşeurile municipale şi asimilabile colectate prin serviciul public de salubrizare, plata făcându-se pentru diferenţa dintre cantitatea corespunzătoare obiectivului anual de diminuare şi cantitatea efectiv încredinţată spre valorificare sau incinerare în instalaţii de incinerare cu recuperare de energie, în sumă de 30.000 mii lei, valoare nemodificată faţă de programul iniţial;</w:t>
            </w:r>
          </w:p>
          <w:p w:rsidR="00AB2812" w:rsidRDefault="00A50DA9">
            <w:pPr>
              <w:pStyle w:val="NoSpacing"/>
              <w:jc w:val="both"/>
            </w:pPr>
            <w:r>
              <w:t>q) ecotaxa, în valoare de 0,1lei/bucată, aplicată pungilor şi sacoşelor pentru cumpărături, cu mâner integrat sau aplicat, fabricate din materiale obţinute din resurse neregenerabile, definite potrivit Ordonanţei de urgenţă a Guvernului nr. 195/2005 privind protecţia mediului, aprobată cu modificări şi completări prin Legea nr. 265/2006 cu modificările şi completările ulterioare, încasată de la operatorii economici care introduc pe piaţa naţională astfel de ambalaje de desfacere,  în sumă de 69.683 mii lei, valoare nemodificată faţă de programul iniţial;</w:t>
            </w:r>
          </w:p>
          <w:p w:rsidR="00AB2812" w:rsidRDefault="00A50DA9">
            <w:pPr>
              <w:pStyle w:val="NoSpacing"/>
              <w:jc w:val="both"/>
            </w:pPr>
            <w:r>
              <w:t>s) o taxă de 0,3 lei/kg., aplicată o singură dată cantităţilor de uleiuri, pe bază minerală, semisintetice, sintetice, cu sau fără adaosuri, datorată de către operatorii economici care introduc pe piaţa naţională astfel de produse, în sumă de 46.497 mii lei, valoare nemodificată faţă de programul iniţial;</w:t>
            </w:r>
          </w:p>
          <w:p w:rsidR="00AB2812" w:rsidRDefault="00A50DA9">
            <w:pPr>
              <w:pStyle w:val="NoSpacing"/>
              <w:jc w:val="both"/>
            </w:pPr>
            <w:r>
              <w:t>ș) sumele încasate ca urmare a aplicării penalității de 100 euro, echivalentă în lei la cursul de schimb leu/euro al BNR valabil la data de 1 mai a anului respectiv, pentru fiecare tonă de dioxid de carbon echivalentă emisă, plătită de către operatorul sau operatorul de aeronave care nu a restituit certificatele de emisii de gaze cu efect de seră corespunzătoare emisiilor de gaze cu efect de seră generate în anul anterior, în conformitate cu prevederile legale în vigoare, în sumă de 159 mii lei, valoare nemodificată faţă de programul iniţial;</w:t>
            </w:r>
          </w:p>
          <w:p w:rsidR="00AB2812" w:rsidRDefault="00A50DA9">
            <w:pPr>
              <w:pStyle w:val="NoSpacing"/>
              <w:jc w:val="both"/>
            </w:pPr>
            <w:r>
              <w:t>ț) suma reprezentând contravaloarea certificatelor verzi neachiziționate, achitată conform prevederilor art.12 alin.(2) din Legea  nr.220/2008 pentru stabilirea sistemului de promovare a producerii din surse regenerabile de energie, republicată, cu modificările și completările ulterioare, în sumă de 506 mii lei, valoare nemodificată faţă de programul iniţial;</w:t>
            </w:r>
          </w:p>
          <w:p w:rsidR="00AB2812" w:rsidRDefault="00A50DA9">
            <w:pPr>
              <w:pStyle w:val="NoSpacing"/>
              <w:jc w:val="both"/>
            </w:pPr>
            <w:r>
              <w:t>v) o contribuţie de 2 lei/kg aplicată pentru diferenta dintre cantitățile de deșeuri de ambalaje, respectiv anvelope uzate declarate ca valorificate de către operatorii economici autorizați pentru preluarea obligațiilor anuale de gestionare a respectivelor deșeuri și cantitățile constatate de Administrația Fondului ca fiind valorificate, în sumă de 1.000 mii lei , valoare nemodificată faţă de programul iniţial;</w:t>
            </w:r>
          </w:p>
          <w:p w:rsidR="00AB2812" w:rsidRDefault="00A50DA9">
            <w:pPr>
              <w:pStyle w:val="NoSpacing"/>
              <w:jc w:val="both"/>
            </w:pPr>
            <w:r>
              <w:t xml:space="preserve">w) o contribuţie în cuantumul prevăzut în anexa nr. 5, datorată de operatorii economici care introduc pe piaţa naţională echipamente </w:t>
            </w:r>
            <w:r>
              <w:lastRenderedPageBreak/>
              <w:t>electrice şi electronice, în sumă de 15.000 mii lei , valoare nemodificată faţă de programul iniţial;</w:t>
            </w:r>
          </w:p>
          <w:p w:rsidR="00AB2812" w:rsidRDefault="00A50DA9">
            <w:pPr>
              <w:pStyle w:val="NoSpacing"/>
              <w:jc w:val="both"/>
            </w:pPr>
            <w:r>
              <w:t>x) o contribuţie de 4 lei/kg de baterii şi acumulatori portabili, datorată de operatorii economici care introduc pe piaţa naţională baterii şi acumulatori portabili, în sumă de 600 mii lei , valoare nemodificată faţă de programul iniţial;</w:t>
            </w:r>
          </w:p>
          <w:p w:rsidR="00AB2812" w:rsidRDefault="00A50DA9">
            <w:pPr>
              <w:pStyle w:val="NoSpacing"/>
              <w:jc w:val="both"/>
            </w:pPr>
            <w:r>
              <w:t>- la paragraful 30.10.11 ” Venituri din vânzarea certificatelor de emisii de gaze cu efect de seră”, s-au estimat venituri în valoare totală de 714.736 mii lei, valoare modificată față de programul aprobat inițial în sumă de 0 mii lei;</w:t>
            </w:r>
          </w:p>
          <w:p w:rsidR="00AB2812" w:rsidRDefault="00A50DA9">
            <w:pPr>
              <w:pStyle w:val="NoSpacing"/>
              <w:jc w:val="both"/>
            </w:pPr>
            <w:r>
              <w:t>-la paragraful 31.10.03 ”Alte venituri din dobânzi”, s-au estimat venituri în valoare totală de 5.250 mii lei, valoare nemodificată faţă de programul iniţial.</w:t>
            </w:r>
          </w:p>
          <w:p w:rsidR="00AB2812" w:rsidRDefault="00AB2812">
            <w:pPr>
              <w:pStyle w:val="NoSpacing"/>
              <w:jc w:val="both"/>
            </w:pPr>
          </w:p>
          <w:p w:rsidR="00AB2812" w:rsidRDefault="00A50DA9">
            <w:pPr>
              <w:pStyle w:val="NoSpacing"/>
              <w:jc w:val="both"/>
            </w:pPr>
            <w:r>
              <w:tab/>
              <w:t>Conform propunerilor compartimentelor de specialitate</w:t>
            </w:r>
            <w:r>
              <w:rPr>
                <w:b/>
              </w:rPr>
              <w:t>, valoarea totală a cheltuielilor estimate a fi efectuate din bugetul Fondului pentru mediu și al Administrației Fondului pentru Mediu în anul 2018</w:t>
            </w:r>
            <w:r>
              <w:t xml:space="preserve"> este în sumă de </w:t>
            </w:r>
            <w:r>
              <w:rPr>
                <w:b/>
              </w:rPr>
              <w:t>1.231.930 mii lei</w:t>
            </w:r>
            <w:r>
              <w:t>, valoare modificată faţă de programul iniţial, aprobat prin H.G. nr.  56/2018, în sumă de 552.780  mii lei, detaliată conform anexei nr.1, astfel:</w:t>
            </w:r>
          </w:p>
          <w:p w:rsidR="00AB2812" w:rsidRDefault="00AB2812">
            <w:pPr>
              <w:pStyle w:val="NoSpacing"/>
              <w:jc w:val="both"/>
            </w:pPr>
          </w:p>
          <w:p w:rsidR="00AB2812" w:rsidRDefault="00A50DA9">
            <w:pPr>
              <w:pStyle w:val="NoSpacing"/>
              <w:jc w:val="both"/>
            </w:pPr>
            <w:r>
              <w:rPr>
                <w:b/>
              </w:rPr>
              <w:t>Cheltuieli curente</w:t>
            </w:r>
            <w:r>
              <w:t xml:space="preserve">, în sumă de </w:t>
            </w:r>
            <w:r>
              <w:rPr>
                <w:b/>
              </w:rPr>
              <w:t>1.230.541 mii</w:t>
            </w:r>
            <w:r>
              <w:t xml:space="preserve">  lei, valoare modificată faţă de programul iniţial, în sumă de 551.541  mii lei, din care:</w:t>
            </w:r>
          </w:p>
          <w:p w:rsidR="00AB2812" w:rsidRDefault="00A50DA9">
            <w:pPr>
              <w:pStyle w:val="NoSpacing"/>
              <w:jc w:val="both"/>
            </w:pPr>
            <w:r>
              <w:t>Titlul 10 „Cheltuieli de personal” – 23.787 mii lei, valoare nemodificată faţă de programul iniţial;</w:t>
            </w:r>
          </w:p>
          <w:p w:rsidR="00AB2812" w:rsidRDefault="00A50DA9">
            <w:pPr>
              <w:pStyle w:val="NoSpacing"/>
              <w:jc w:val="both"/>
            </w:pPr>
            <w:r>
              <w:t>Titlul 20 „Bunuri şi servicii” – 7.861 mii lei, valoare nemodificată faţă de programul iniţial;</w:t>
            </w:r>
          </w:p>
          <w:p w:rsidR="00AB2812" w:rsidRDefault="00A50DA9">
            <w:pPr>
              <w:pStyle w:val="NoSpacing"/>
              <w:jc w:val="both"/>
            </w:pPr>
            <w:r>
              <w:t xml:space="preserve">Titlul 55 ”Alte transferuri”, articol 55.01 „Transferuri interne” – 1.198.852 mii lei, valoare modificată faţă de programul iniţial, în sumă de 519.852 mii lei, compusă din: </w:t>
            </w:r>
          </w:p>
          <w:p w:rsidR="00AB2812" w:rsidRDefault="00A50DA9">
            <w:pPr>
              <w:pStyle w:val="NoSpacing"/>
              <w:jc w:val="both"/>
            </w:pPr>
            <w:r>
              <w:t>-</w:t>
            </w:r>
            <w:r>
              <w:tab/>
              <w:t>sume alocate  proiectelor şi programelor pentru protecţia mediului  finanţate din Fondul pentru mediu în anul 2018  în valoare de 519.852 mii lei, valoare nemodificată față de programul inițial (detaliate în anexa nr.2a  -rectificată)  și</w:t>
            </w:r>
          </w:p>
          <w:p w:rsidR="00AB2812" w:rsidRDefault="00A50DA9">
            <w:pPr>
              <w:pStyle w:val="NoSpacing"/>
              <w:jc w:val="both"/>
            </w:pPr>
            <w:r>
              <w:t>-</w:t>
            </w:r>
            <w:r>
              <w:tab/>
              <w:t xml:space="preserve">sume alocate categoriilor de proiecte prioritare finanțate din Fondul pentru mediu,  în temeiul Ordinului ministrului mediului nr.725/2018, în valoare de 679.000 mii lei, valoare modificată față de programul inițial în sumă de 0 mii lei (detaliate în anexa nr.2b); </w:t>
            </w:r>
          </w:p>
          <w:p w:rsidR="00AB2812" w:rsidRDefault="00A50DA9">
            <w:pPr>
              <w:pStyle w:val="NoSpacing"/>
              <w:jc w:val="both"/>
            </w:pPr>
            <w:r>
              <w:t xml:space="preserve"> Titlul 56 ”Proiecte cu finanţarea din FEN postaderare”, Mecanismul financiar SEE – 41 mii lei, valoare rămasă nemodificată faţă de programul iniţial.</w:t>
            </w:r>
          </w:p>
          <w:p w:rsidR="00AB2812" w:rsidRDefault="00AB2812">
            <w:pPr>
              <w:pStyle w:val="NoSpacing"/>
              <w:jc w:val="both"/>
            </w:pPr>
          </w:p>
          <w:p w:rsidR="00AB2812" w:rsidRDefault="00A50DA9">
            <w:pPr>
              <w:pStyle w:val="NoSpacing"/>
              <w:jc w:val="both"/>
            </w:pPr>
            <w:r>
              <w:t xml:space="preserve"> </w:t>
            </w:r>
            <w:r>
              <w:rPr>
                <w:b/>
              </w:rPr>
              <w:t>Cheltuieli de capital,</w:t>
            </w:r>
            <w:r>
              <w:t xml:space="preserve"> în sumă de </w:t>
            </w:r>
            <w:r>
              <w:rPr>
                <w:b/>
              </w:rPr>
              <w:t>1.389 mii</w:t>
            </w:r>
            <w:r>
              <w:t xml:space="preserve"> lei, din care:</w:t>
            </w:r>
          </w:p>
          <w:p w:rsidR="00AB2812" w:rsidRDefault="00A50DA9">
            <w:pPr>
              <w:pStyle w:val="NoSpacing"/>
              <w:jc w:val="both"/>
            </w:pPr>
            <w:r>
              <w:t>Titlul 70 „Cheltuieli de capital”– 1.389 mii lei, valoare modificată faţă de programul iniţial, în sumă de 1.239 mii lei.</w:t>
            </w:r>
          </w:p>
          <w:p w:rsidR="00AB2812" w:rsidRDefault="00AB2812">
            <w:pPr>
              <w:pStyle w:val="NoSpacing"/>
              <w:jc w:val="both"/>
            </w:pPr>
          </w:p>
          <w:p w:rsidR="00AB2812" w:rsidRDefault="00A50DA9">
            <w:pPr>
              <w:pStyle w:val="NoSpacing"/>
              <w:jc w:val="both"/>
            </w:pPr>
            <w:r>
              <w:t>Cheltuielile curente şi de capital  ale Administraţiei Fondului pentru Mediu au fost aprobate prin H.G. nr. 56/2018 de aprobare a bugetului Fondului pentru mediu și al Administrației Fondului pentru Mediu pentru anul 2018, în conformitate cu prevederile art. 7 din Ordonanţa de urgenţă a Guvernului nr. 196/2005, în limita a 10% din veniturile Fondului pentru mediu estimate  în sumă  de 40.499 mii lei.</w:t>
            </w:r>
          </w:p>
          <w:p w:rsidR="00AB2812" w:rsidRDefault="00AB2812">
            <w:pPr>
              <w:pStyle w:val="NoSpacing"/>
              <w:jc w:val="both"/>
            </w:pPr>
          </w:p>
          <w:p w:rsidR="00AB2812" w:rsidRDefault="00A50DA9">
            <w:pPr>
              <w:pStyle w:val="NoSpacing"/>
              <w:jc w:val="both"/>
            </w:pPr>
            <w:r>
              <w:lastRenderedPageBreak/>
              <w:t xml:space="preserve">În temeiul modificărilor aduse prin prevederile O.U.G. nr. 37 /2018 pentru modificarea şi completarea O.U.G.  nr. 115/2011, cheltuielile curente şi de capital  ale Administraţiei Fondului se finanțează din  sumele reținute în cota de până la 5% din sumele virate potrivit art.10 alin (1) lit.b) și art.11 alin (1) lit.b)  din O.U.G.  nr. 115/2011, conform prevederilor art 15^6 din O.U.G. nr. 37 /2018 pentru modificarea şi completarea O.U.G.  nr. 115/2011; veniturile Fondului Administrației Fondului pentru Mediu estimate până la finele anului 2018 vor crește de la 40.499 mii lei, sumă aprobată în programul </w:t>
            </w:r>
            <w:r w:rsidRPr="00866B9D">
              <w:t>inițial,</w:t>
            </w:r>
            <w:r>
              <w:t xml:space="preserve"> la valoarea de 76.235 mii lei în proiectul de program rectificat, cu următoarea componență:</w:t>
            </w:r>
          </w:p>
          <w:p w:rsidR="00AB2812" w:rsidRDefault="00A50DA9">
            <w:pPr>
              <w:pStyle w:val="NoSpacing"/>
              <w:jc w:val="both"/>
            </w:pPr>
            <w:r>
              <w:t>- la paragraful 18.10.50 “Alte impozite şi taxe fiscale” s-au estimat valori ale veniturilor din taxe şi contribuţii în sumă de 40.099 mii lei, valoare nemodificată faţă de programul iniţial;</w:t>
            </w:r>
          </w:p>
          <w:p w:rsidR="00AB2812" w:rsidRDefault="00A50DA9">
            <w:pPr>
              <w:pStyle w:val="NoSpacing"/>
              <w:jc w:val="both"/>
            </w:pPr>
            <w:r>
              <w:t>- la paragraful 30.10.11” Venituri din vânzarea certificatelor de emisii de gaze cu efect de seră”, s-au estimat venituri în  sumă de 35.736 mii lei, valoare modificată față de programul aprobat , în sumă de 0 mii lei;</w:t>
            </w:r>
          </w:p>
          <w:p w:rsidR="00AB2812" w:rsidRDefault="00A50DA9">
            <w:pPr>
              <w:pStyle w:val="NoSpacing"/>
              <w:jc w:val="both"/>
            </w:pPr>
            <w:r>
              <w:t>-la paragraful 31.10.03 ” Alte venituri din dobânzi”, s-au estimat venituri în sumă de 400 mii lei, valoare nemodificată faţă de programul iniţial.</w:t>
            </w:r>
          </w:p>
          <w:p w:rsidR="00AB2812" w:rsidRDefault="00A50DA9">
            <w:pPr>
              <w:pStyle w:val="NoSpacing"/>
              <w:jc w:val="both"/>
            </w:pPr>
            <w:r>
              <w:t xml:space="preserve">Suma de 35.736 mii lei este rezultatul aplicării procentului de 5% din valoarea totală de 714.736 mii lei provenită din veniturile estimate din paragraful  30.10.11 ” </w:t>
            </w:r>
            <w:r>
              <w:rPr>
                <w:i/>
              </w:rPr>
              <w:t>Venituri din vânzarea certificatelor de emisii de gaze cu efect de seră</w:t>
            </w:r>
            <w:r>
              <w:t xml:space="preserve">”, </w:t>
            </w:r>
            <w:r w:rsidRPr="00866B9D">
              <w:t>din anexa nr.1</w:t>
            </w:r>
            <w:r>
              <w:t>, descrise anterior.</w:t>
            </w:r>
          </w:p>
          <w:p w:rsidR="00AB2812" w:rsidRDefault="00AB2812">
            <w:pPr>
              <w:pStyle w:val="NoSpacing"/>
              <w:jc w:val="both"/>
            </w:pPr>
          </w:p>
          <w:p w:rsidR="00AB2812" w:rsidRDefault="00A50DA9">
            <w:pPr>
              <w:pStyle w:val="NoSpacing"/>
              <w:jc w:val="both"/>
            </w:pPr>
            <w:r>
              <w:rPr>
                <w:b/>
              </w:rPr>
              <w:t>Cheltuielile curente şi de capital</w:t>
            </w:r>
            <w:r>
              <w:t xml:space="preserve">  ale Administraţiei Fondului pentru Mediu sunt  estimate la valoarea de  33.078 mii lei, modificată față de de programul iniţial, în sumă de 32.928 mii lei  și se detaliază conform anexei nr.1b - rectificată, astfel:</w:t>
            </w:r>
          </w:p>
          <w:p w:rsidR="00AB2812" w:rsidRDefault="00A50DA9">
            <w:pPr>
              <w:pStyle w:val="NoSpacing"/>
              <w:jc w:val="both"/>
            </w:pPr>
            <w:r>
              <w:t>Titlul 10 „Cheltuieli de personal” – 23.787 mii lei, valoare nemodificată faţă de programul iniţial;</w:t>
            </w:r>
          </w:p>
          <w:p w:rsidR="00AB2812" w:rsidRDefault="00A50DA9">
            <w:pPr>
              <w:pStyle w:val="NoSpacing"/>
              <w:jc w:val="both"/>
            </w:pPr>
            <w:r>
              <w:t xml:space="preserve"> Titlul 20 „Bunuri şi servicii” – 7.861 mii lei, valoare nemodificată faţă de programul iniţial;</w:t>
            </w:r>
          </w:p>
          <w:p w:rsidR="00AB2812" w:rsidRDefault="00A50DA9">
            <w:pPr>
              <w:pStyle w:val="NoSpacing"/>
              <w:jc w:val="both"/>
            </w:pPr>
            <w:r>
              <w:t>Titlul 56 „Proiecte cu finanţare din FEN postaderare” – 41 mii lei, valoare nemodificată faţă de programul iniţial;</w:t>
            </w:r>
          </w:p>
          <w:p w:rsidR="00AB2812" w:rsidRDefault="00A50DA9">
            <w:pPr>
              <w:pStyle w:val="NoSpacing"/>
              <w:jc w:val="both"/>
            </w:pPr>
            <w:r>
              <w:t>Titlul 70 „Cheltuieli de capital”– 1.389 mii lei, valoare modificată faţă de programul iniţial, în sumă de 1.239 mii lei.</w:t>
            </w:r>
          </w:p>
          <w:p w:rsidR="00AB2812" w:rsidRDefault="00AB2812">
            <w:pPr>
              <w:pStyle w:val="NoSpacing"/>
              <w:jc w:val="both"/>
            </w:pPr>
          </w:p>
          <w:p w:rsidR="00AB2812" w:rsidRDefault="00A50DA9">
            <w:pPr>
              <w:pStyle w:val="NoSpacing"/>
              <w:jc w:val="both"/>
            </w:pPr>
            <w:r>
              <w:t>Titlul 10 “Cheltuieli de personal”- 23.787 mii lei, valoare nemodificată pe total  titlu, faţă de programul iniţial;</w:t>
            </w:r>
            <w:r>
              <w:tab/>
            </w:r>
          </w:p>
          <w:p w:rsidR="00AB2812" w:rsidRDefault="00A50DA9">
            <w:pPr>
              <w:pStyle w:val="NoSpacing"/>
              <w:jc w:val="both"/>
            </w:pPr>
            <w:r>
              <w:t>Detaliate pe alineate, cheltuielile la articolul 10 Cheltuieli de personal se prezintă astfel:</w:t>
            </w:r>
          </w:p>
          <w:p w:rsidR="00AB2812" w:rsidRDefault="00A50DA9">
            <w:pPr>
              <w:pStyle w:val="NoSpacing"/>
              <w:jc w:val="both"/>
            </w:pPr>
            <w:r>
              <w:t xml:space="preserve"> - alin. 10.01.01 Salariul de bază - s-a estimat o valoare a creditelor de angajament  și bugetare de 20.350 mii lei, valoare nemodificată faţă de programul iniţial;</w:t>
            </w:r>
          </w:p>
          <w:p w:rsidR="00AB2812" w:rsidRDefault="00A50DA9">
            <w:pPr>
              <w:pStyle w:val="NoSpacing"/>
              <w:jc w:val="both"/>
            </w:pPr>
            <w:r>
              <w:t>- alin. 10.01.05 Sporuri pentru condiții de muncă – s-a estimat o valoare a creditelor de angajament  și bugetare de 1.078 mii lei, valoare modificată faţă de programul iniţial, în sumă de 1.770 mii lei, estimându-se astfel o economie de 692 mii lei;</w:t>
            </w:r>
          </w:p>
          <w:p w:rsidR="00AB2812" w:rsidRDefault="00A50DA9">
            <w:pPr>
              <w:pStyle w:val="NoSpacing"/>
              <w:jc w:val="both"/>
            </w:pPr>
            <w:r>
              <w:t>- alin. 10.01.12 Indemnizaţii plătite unor persoane din afara unităţii – s-a estimat o valoare a creditelor de angajament  și bugetare de 600 mii lei, valoare rămasă nemodificată faţă de programul iniţial;</w:t>
            </w:r>
          </w:p>
          <w:p w:rsidR="00AB2812" w:rsidRDefault="00A50DA9">
            <w:pPr>
              <w:pStyle w:val="NoSpacing"/>
              <w:jc w:val="both"/>
            </w:pPr>
            <w:r>
              <w:t xml:space="preserve">- alin. 10.01.13 Indemnizaţii de delegare – s-a estimat o valoarea  </w:t>
            </w:r>
            <w:r>
              <w:lastRenderedPageBreak/>
              <w:t>creditelor de angajament  și bugetare de 110 mii lei, valoare modificată faţă de programul iniţial , în sumă de 60 mii lei; diferența de 50 mii lei se alocă din economiile în cuantum de 692 mii lei, de la alin. 10.01.05 Sporuri pentru condiții de muncă;</w:t>
            </w:r>
          </w:p>
          <w:p w:rsidR="00AB2812" w:rsidRDefault="00A50DA9">
            <w:pPr>
              <w:pStyle w:val="NoSpacing"/>
              <w:jc w:val="both"/>
            </w:pPr>
            <w:r>
              <w:t xml:space="preserve">- alin. 10.01.30 Alte drepturi salariale în bani- s-a estimat o valoare a creditelor de angajament  și bugetare de 830 mii lei, valoare modificată faţă de programul iniţial, în sumă de 188 mii lei ; diferența de 642 mii lei pentru acoperirea suplimentării de credite de angajament și bugetare se alocă din economia de 692 mii lei de la alin. 10.01.05 Sporuri pentru condiții de muncă din care s-au scăzut 50 mii lei alocate suplimentării cheltuielilor de la alin 10.01.13 Indemnizaţii de delegare, descris anterior. </w:t>
            </w:r>
          </w:p>
          <w:p w:rsidR="00AB2812" w:rsidRDefault="00A50DA9">
            <w:pPr>
              <w:pStyle w:val="NoSpacing"/>
              <w:jc w:val="both"/>
            </w:pPr>
            <w:r>
              <w:tab/>
              <w:t>La stabilirea nivelului rectificat al  cheltuielilor  cu Alte drepturi salariale în bani,  s-a avut în vedere fundamentarea compartimentului de specialitate, conform căreia, suplimentarea creditelor de angajament și bugetare cu suma de 642.000 mii lei, față de bugetul inițial este necesară pentru:</w:t>
            </w:r>
          </w:p>
          <w:p w:rsidR="00AB2812" w:rsidRDefault="00A50DA9">
            <w:pPr>
              <w:pStyle w:val="NoSpacing"/>
              <w:jc w:val="both"/>
            </w:pPr>
            <w:r>
              <w:t>-438 mii lei pentru acordarea primei de Crăciun, față de bugetul inițial în sumă de 0 mii lei; calculul primei de Crăciun este de 1.000 lei net/salariat, respectiv 1.710 lei brut//salariat pentru 256 salariați ai instituției;</w:t>
            </w:r>
          </w:p>
          <w:p w:rsidR="00AB2812" w:rsidRDefault="00A50DA9">
            <w:pPr>
              <w:pStyle w:val="NoSpacing"/>
              <w:jc w:val="both"/>
            </w:pPr>
            <w:r>
              <w:t>- 204 mii lei pentru acordarea ajutoarelor, față de bugetul inițial în sumă de 188 mii lei prevăzute conform Contractului colectiv de muncă încheiat  la nivelul AFM nr.372/2015, cu modificările și completările ulterioare.</w:t>
            </w:r>
          </w:p>
          <w:p w:rsidR="00AB2812" w:rsidRDefault="00AB2812">
            <w:pPr>
              <w:pStyle w:val="NoSpacing"/>
              <w:jc w:val="both"/>
            </w:pPr>
          </w:p>
          <w:p w:rsidR="00AB2812" w:rsidRDefault="00A50DA9">
            <w:pPr>
              <w:pStyle w:val="NoSpacing"/>
              <w:jc w:val="both"/>
            </w:pPr>
            <w:r>
              <w:t>Propunerile au la bază următoarele justificări privind legalitatea acordării:</w:t>
            </w:r>
          </w:p>
          <w:p w:rsidR="00AB2812" w:rsidRDefault="00AB2812">
            <w:pPr>
              <w:pStyle w:val="NoSpacing"/>
              <w:jc w:val="both"/>
            </w:pPr>
          </w:p>
          <w:p w:rsidR="00AB2812" w:rsidRDefault="00A50DA9">
            <w:pPr>
              <w:pStyle w:val="NoSpacing"/>
              <w:jc w:val="both"/>
            </w:pPr>
            <w:r>
              <w:t>-prevederile  art. 9 alin. (1) din O.U.G. 90/2017 privind unele masuri fiscal-bugetare, modificarea si completarea unor acte normative  și prorogarea unor termene, cu modificările și completările ulterioare,  ”</w:t>
            </w:r>
            <w:r>
              <w:rPr>
                <w:i/>
              </w:rPr>
              <w:t>În anul 2018, instituţiile şi autorităţile publice, astfel cum sunt definite la art. 2 alin. (1) pct. 30 din Legea nr. 500/2002 privind finanţele publice,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tichete cadou, premii şi nici indemnizaţia de hrană şi indemnizaţia de vacanţă prevăzute de Legea-cadru nr. 153/2017</w:t>
            </w:r>
            <w:r>
              <w:t>”, care nu interzic acordarea de prime pentru anul 2018, așa cum reiese și din adresa Ministerului Muncii, Justiției și Solidarității nr. 153/DGJ/12.03.2018, înregistrată la AFM sub nr. 14422/15.03.2018;</w:t>
            </w:r>
          </w:p>
          <w:p w:rsidR="00AB2812" w:rsidRDefault="00A50DA9">
            <w:pPr>
              <w:pStyle w:val="NoSpacing"/>
              <w:jc w:val="both"/>
            </w:pPr>
            <w:r>
              <w:t>- prevederile art. 11 alin. (1) din O.U.G. nr. 90/2017 ”</w:t>
            </w:r>
            <w:r>
              <w:rPr>
                <w:i/>
              </w:rPr>
              <w:t>În anul 2018 nu se acordă ajutoarele sau, după caz, indemnizaţiile la ieşirea la pensie, retragere, încetarea raporturilor de serviciu ori la trecerea în rezervă</w:t>
            </w:r>
            <w:r>
              <w:t>”;</w:t>
            </w:r>
          </w:p>
          <w:p w:rsidR="00AB2812" w:rsidRDefault="00A50DA9">
            <w:pPr>
              <w:pStyle w:val="NoSpacing"/>
              <w:jc w:val="both"/>
            </w:pPr>
            <w:r>
              <w:t xml:space="preserve">Întrucât prevederile alin. (1) nu se aplică în situaţia încetării raporturilor de muncă sau serviciu ca urmare a decesului angajatului, interzic doar acordarea ajutoarelor la ieșirea la pensie, propunem să se acorde, în continuare, următoarele ajutoare, conform Contractului colectiv de muncă încheiat la nivelul AFM nr. 372/2015, cu modificările și completările ulterioare, după cum urmează:  </w:t>
            </w:r>
          </w:p>
          <w:p w:rsidR="00AB2812" w:rsidRDefault="00A50DA9">
            <w:pPr>
              <w:pStyle w:val="NoSpacing"/>
              <w:jc w:val="both"/>
            </w:pPr>
            <w:r>
              <w:lastRenderedPageBreak/>
              <w:t>-Salariații AFM pot beneficia și de alte drepturi aplicabile personalului din administrația publică centrală, conform art.11 din Anexa VII la Legea nr.153/2017: ”</w:t>
            </w:r>
            <w:r>
              <w:rPr>
                <w:i/>
              </w:rPr>
              <w:t>Personalul încadrat în autoritățile și instituțiile publice finanțate integral din venituri proprii beneficiază și de celelalte drepturi aplicabile personalului din administrația publică centrală, respectiv locală, în funcție de subordonare</w:t>
            </w:r>
            <w:r>
              <w:t xml:space="preserve">.” </w:t>
            </w:r>
          </w:p>
          <w:p w:rsidR="00AB2812" w:rsidRDefault="00A50DA9">
            <w:pPr>
              <w:pStyle w:val="NoSpacing"/>
              <w:jc w:val="both"/>
            </w:pPr>
            <w:r>
              <w:t>- În conformitate cu prevederile art. 25 alin. (1) din Legea nr.153/2017 ”</w:t>
            </w:r>
            <w:r>
              <w:rPr>
                <w:i/>
              </w:rPr>
              <w:t>Suma sporurilor, compensațiilor, adaosurile, primelor, premiilor și indemnizațiilor, inclusiv cele de hrană și vacanță, acordate cumulat pe total buget pentru fiecare ordonator de credite nu poate depăși 30% din suma salariilor de bază, (...).”</w:t>
            </w:r>
            <w:r>
              <w:t xml:space="preserve"> și ale art. 12 din Anexa VII la Legea nr. 153/2017 ”</w:t>
            </w:r>
            <w:r>
              <w:rPr>
                <w:i/>
              </w:rPr>
              <w:t>Drepturile de natură salarială ale personalului încadrat în autoritățile și instituțiile publice finanțate integral din venituri proprii sunt stabilite de către ordonatorul de credite, cu încadrarea strictă în resursele financiare alocate anual și în numărul de posturi stabilit potrivit legii, prin bugetul de venituri și cheltuieli</w:t>
            </w:r>
            <w:r>
              <w:t>.”</w:t>
            </w:r>
          </w:p>
          <w:p w:rsidR="00AB2812" w:rsidRDefault="00A50DA9">
            <w:pPr>
              <w:pStyle w:val="NoSpacing"/>
              <w:jc w:val="both"/>
            </w:pPr>
            <w:r>
              <w:tab/>
            </w:r>
          </w:p>
          <w:p w:rsidR="00AB2812" w:rsidRDefault="00A50DA9">
            <w:pPr>
              <w:pStyle w:val="NoSpacing"/>
              <w:jc w:val="both"/>
            </w:pPr>
            <w:r>
              <w:t xml:space="preserve">-art.10.02.06 Vauchere de vacanță -  s-a estimat o valoare a creditelor de angajament și bugetare de 1 mii </w:t>
            </w:r>
            <w:r w:rsidRPr="00823B2E">
              <w:t>lei</w:t>
            </w:r>
            <w:r>
              <w:t>, valoare nemodificată față de programul inițial, în sumă de 1 mii lei; reprezintă necesarul pentru plata unei diferențe la factura lunii decembrie 2017;</w:t>
            </w:r>
          </w:p>
          <w:p w:rsidR="00AB2812" w:rsidRDefault="00A50DA9">
            <w:pPr>
              <w:pStyle w:val="NoSpacing"/>
              <w:jc w:val="both"/>
            </w:pPr>
            <w:r>
              <w:t xml:space="preserve">  - art.10.03 Contribuţii - s-a estimat o valoare a creditelor de angajament  și bugetare de 818 mii lei, valoare nemodificată faţă de programul iniţial; cheltuieli  stabilite  direct proporţional cu valoarea veniturilor salariale brute previzionate.</w:t>
            </w:r>
          </w:p>
          <w:p w:rsidR="00AB2812" w:rsidRDefault="00AB2812">
            <w:pPr>
              <w:pStyle w:val="NoSpacing"/>
              <w:jc w:val="both"/>
            </w:pPr>
          </w:p>
          <w:p w:rsidR="00AB2812" w:rsidRDefault="00A50DA9">
            <w:pPr>
              <w:pStyle w:val="NoSpacing"/>
              <w:jc w:val="both"/>
            </w:pPr>
            <w:r>
              <w:t xml:space="preserve">În baza fundamentării transmise de compartimentele de specialitate, au fost propuse suplimentări și diminuări de credite  de angajament  și bugetare la anumite alineate de cheltuieli, în cadrul </w:t>
            </w:r>
            <w:r w:rsidRPr="00823B2E">
              <w:t>titlului</w:t>
            </w:r>
            <w:r>
              <w:t xml:space="preserve"> 20                      ”Bunuri și servicii”  estimându-se un necesar de 7.861 mii lei valoare nemodificată faţă de programul iniţia, pe total titlu de cheltuieli.</w:t>
            </w:r>
          </w:p>
          <w:p w:rsidR="00AB2812" w:rsidRDefault="00A50DA9">
            <w:pPr>
              <w:pStyle w:val="NoSpacing"/>
              <w:jc w:val="both"/>
            </w:pPr>
            <w:r>
              <w:t xml:space="preserve">Detaliate pe alineate, cheltuielile la </w:t>
            </w:r>
            <w:r w:rsidRPr="00823B2E">
              <w:t>titlul</w:t>
            </w:r>
            <w:r>
              <w:t xml:space="preserve"> 20 ” Bunuri și servicii” se prezintă astfel:</w:t>
            </w:r>
          </w:p>
          <w:p w:rsidR="00AB2812" w:rsidRDefault="00A50DA9">
            <w:pPr>
              <w:pStyle w:val="NoSpacing"/>
              <w:jc w:val="both"/>
            </w:pPr>
            <w:r>
              <w:t>- alin. 20.01.01  Furnituri de birou (rechizite, tonere, tipizate, hârtie, cutii arhivare) – s-a estimat o valoare a creditelor de angajament  și bugetare de 367 mii lei, valoare nemodificată faţă de programul iniţial;</w:t>
            </w:r>
          </w:p>
          <w:p w:rsidR="00AB2812" w:rsidRDefault="00A50DA9">
            <w:pPr>
              <w:pStyle w:val="NoSpacing"/>
              <w:jc w:val="both"/>
            </w:pPr>
            <w:r>
              <w:t>- alin. 20.01.03  Iluminat, încălzit şi forţă motrică - s-a estimat o valoare a  creditelor de angajament  și bugetare de 300 mii lei, valoare modificată faţă de programul iniţial, în sumă de 225 mii lei, ţinîndu-se cont de necesitatea asigurării serviciilor de furnizare a energiei electrice şi a energiei termice în cele două corpuri de clădire în care îşi desfăşoară activitatea personalul;suplimentarea cu 75 mii lei a creditelor de angajament și bugetare se asigură din economiile estimate la alte alineate în cadrul titlului 20 Bunuri și servicii;</w:t>
            </w:r>
          </w:p>
          <w:p w:rsidR="00AB2812" w:rsidRDefault="00A50DA9">
            <w:pPr>
              <w:pStyle w:val="NoSpacing"/>
              <w:jc w:val="both"/>
            </w:pPr>
            <w:r>
              <w:t>- alin. 20.01.04  Apă, canal, salubritate - s-a estimat o valoare a creditelor de angajament  și bugetare de  70 mii lei,  valoare modificată faţă de programul iniţial, în sumă de 50 mii lei; suplimentarea cu 20 mii lei a creditelor de angajament și bugetare se asigură din economiile estimate la alte alineate în cadrul titlului 20 Bunuri și servicii,  ţinându-se cont de necesitatea asigurării serviciilor de furnizare a apei, servicii de canalizare şi salubritate în cele două corpuri de clădire în care îşi desfăşoară activitatea personalul;</w:t>
            </w:r>
          </w:p>
          <w:p w:rsidR="00AB2812" w:rsidRDefault="00A50DA9">
            <w:pPr>
              <w:pStyle w:val="NoSpacing"/>
              <w:jc w:val="both"/>
            </w:pPr>
            <w:r>
              <w:t xml:space="preserve">- alin. 20.01.05  Carburanţi şi lubrifianţi -  s-a estimat o valoare  a </w:t>
            </w:r>
            <w:r>
              <w:lastRenderedPageBreak/>
              <w:t>creditelor de angajament  și bugetare de 420 mii lei, valoare rămasă nemodificată faţă de programul iniţial, ţinând cont de numărul de maşini de care dispune instituţia noastră, consumul maxim lunar/ autoturism reglementat de  actele  normative în vigoare şi preţul mediu estimat/litru de combustibil;</w:t>
            </w:r>
          </w:p>
          <w:p w:rsidR="00AB2812" w:rsidRDefault="00A50DA9">
            <w:pPr>
              <w:pStyle w:val="NoSpacing"/>
              <w:jc w:val="both"/>
            </w:pPr>
            <w:r>
              <w:t>- alin. 20.01.06  Piese de schimb - s-a estimat o valoare a creditelor de angajament  și bugetare de 10 mii lei, valoare rămasă nemodificată faţă de programul iniţial;</w:t>
            </w:r>
          </w:p>
          <w:p w:rsidR="00AB2812" w:rsidRDefault="00A50DA9">
            <w:pPr>
              <w:pStyle w:val="NoSpacing"/>
              <w:jc w:val="both"/>
            </w:pPr>
            <w:r>
              <w:t xml:space="preserve">- alin. 20.01.08  Poşta, telecomunicaţii, radio tv, internet - s-a estimat o valoare a creditelor de angajament  și bugetare de  550 mii lei, valoare rămasă nemodificată faţă de programul iniţial, care să asigure necesităţile privind serviciile de internet, telefonie fixă şi mobilă, precum şi serviciile poştale, pentru estimarea cărora s-a avut în vedere numărul mare de acte administrativ- fiscale si de procedura transmise de Administraţia Fondului pentru Mediu (înştiinţări, somaţii, titluri executorii) care se transmit cu confirmare de primire conform Codului de procedură fiscală;           </w:t>
            </w:r>
          </w:p>
          <w:p w:rsidR="00AB2812" w:rsidRDefault="00A50DA9">
            <w:pPr>
              <w:pStyle w:val="NoSpacing"/>
              <w:jc w:val="both"/>
            </w:pPr>
            <w:r>
              <w:t>- alin. 20.01.09  Materiale şi prestări servicii cu caracter funcţional -  s-a estimat o valoare a creditelor de angajament  și bugetare de 100 mii lei, valoare nemodificată faţă de programul iniţial;</w:t>
            </w:r>
          </w:p>
          <w:p w:rsidR="00AB2812" w:rsidRDefault="00A50DA9">
            <w:pPr>
              <w:pStyle w:val="NoSpacing"/>
              <w:jc w:val="both"/>
            </w:pPr>
            <w:r>
              <w:t xml:space="preserve">- alin. 20.01.30 – Alte bunuri şi servicii pentru întreţinere şi funcţionare - s-a estimat o valoare a creditelor de angajament  și bugetare de 2.500 mii lei, valoare nemodificată faţă de programul iniţial, pentru achiziţionarea de bunuri şi servicii necesare desfăşurării activității în condiţii optime;       </w:t>
            </w:r>
          </w:p>
          <w:p w:rsidR="00AB2812" w:rsidRDefault="00A50DA9">
            <w:pPr>
              <w:pStyle w:val="NoSpacing"/>
              <w:jc w:val="both"/>
            </w:pPr>
            <w:r>
              <w:t>- art. 20.02 Reparaţii curente - s-a estimat o valoare a creditelor de angajament  și bugetare de 10 mii lei, valoare rămasă nemodificată faţă de programul iniţial;</w:t>
            </w:r>
          </w:p>
          <w:p w:rsidR="00AB2812" w:rsidRDefault="00A50DA9">
            <w:pPr>
              <w:pStyle w:val="NoSpacing"/>
              <w:jc w:val="both"/>
            </w:pPr>
            <w:r>
              <w:t>- alin. 20.05.30 Obiecte de inventar - s-a estimat o valoare a creditelor de angajament  și bugetare de 170 mii lei, valoare nemodificată faţă de programul iniţial,necesare achiziţionării de obiecte de inventar necesare desfăşurării activităţii în condiţii optime;</w:t>
            </w:r>
          </w:p>
          <w:p w:rsidR="00AB2812" w:rsidRDefault="00A50DA9">
            <w:pPr>
              <w:pStyle w:val="NoSpacing"/>
              <w:jc w:val="both"/>
            </w:pPr>
            <w:r>
              <w:t>- art. 20.06. – Deplasări, detaşări, transferări – s-a estimat o valoare a creditelor de angajament  și bugetare de 1.100 mii lei, valoare modificată faţă de programul iniţial, în sumă de 1.000 mii lei din care:</w:t>
            </w:r>
          </w:p>
          <w:p w:rsidR="00AB2812" w:rsidRDefault="00A50DA9">
            <w:pPr>
              <w:pStyle w:val="NoSpacing"/>
              <w:jc w:val="both"/>
            </w:pPr>
            <w:r>
              <w:rPr>
                <w:b/>
              </w:rPr>
              <w:t>1.</w:t>
            </w:r>
            <w:r>
              <w:t xml:space="preserve"> deplasări interne detaşări transferări  - s-a estimat o valoare a creditelor de angajament  și bugetare de 900 mii lei, valoare nemodificată faţă de programul iniţial, necesară realizării obiectului principal de activitate al Administraţiei Fondului pentru Mediu care îl reprezintă finanţarea proiectelor şi programelor de mediu, activitate care se concretizează prin implementarea contractelor aflate în derulare şi pentru care sunt planificate pe parcursul anului 2018 în medie 2-3 vizite de control/ contract în scopul stabilirii conformităţii situaţiilor de  lucrări depuse la dosarul cererilor de tragere,la care se adaugă  deplasările în teritoriu pentru inspecţiile fiscale cu privire la corectitudinea stabilirii datoriilor la Fondul pentru Mediu de către contribuabili.</w:t>
            </w:r>
          </w:p>
          <w:p w:rsidR="00AB2812" w:rsidRDefault="00A50DA9">
            <w:pPr>
              <w:pStyle w:val="NoSpacing"/>
              <w:jc w:val="both"/>
            </w:pPr>
            <w:r>
              <w:rPr>
                <w:b/>
              </w:rPr>
              <w:t>2.</w:t>
            </w:r>
            <w:r>
              <w:t xml:space="preserve"> deplasări în străinătate - s-a estimat o valoare a creditelor de angajament  și bugetare de  200 mii lei, valoare modificată faţă de programul iniţial, în sumă de 100 mii lei; suplimentarea cu 100 mii lei a creditelor de angajament și bugetare se asigură din economiile estimate la alte alineate în cadrul titlului 20 Bunuri și servicii, necesară deplasării personalului Administraţiei Fondului pentru Mediu la târguri şi expoziţii interne şi internaţionale, precum şi prezenţa la seminarii şi întâlniri </w:t>
            </w:r>
            <w:r>
              <w:lastRenderedPageBreak/>
              <w:t xml:space="preserve">internaţionale pentru a fi la curent cu schimbările în domeniul protecţiei mediului, domeniu pentru care Uniunea Europeană acordă o atenţie din ce în ce mai mare. </w:t>
            </w:r>
          </w:p>
          <w:p w:rsidR="00AB2812" w:rsidRDefault="00A50DA9">
            <w:pPr>
              <w:pStyle w:val="NoSpacing"/>
              <w:jc w:val="both"/>
            </w:pPr>
            <w:r>
              <w:t>- art. 20.11 Cărţi şi publicaţii – s-a estimat o valoare a creditelor de angajament  și bugetare de 10 mii lei, valoare rămasă nemodificată faţă de programul iniţial, pentru asigurarea cheltuielilor destinate  unei  informări în timp util privind aspectele juridice, socio-economice şi de mediu concretizată prin achiziţionarea unor publicaţii periodice şi cotidiene cum ar fi: Monitorul Oficial, Tribuna Economică, Dreptul, Buletinul Casaţiei, Revista de Drept Public, Revista de Drept Comercial, Revista de achiziţii publice;</w:t>
            </w:r>
          </w:p>
          <w:p w:rsidR="00AB2812" w:rsidRDefault="00A50DA9">
            <w:pPr>
              <w:pStyle w:val="NoSpacing"/>
              <w:jc w:val="both"/>
            </w:pPr>
            <w:r>
              <w:t>- art. 20.13  Pregătire profesională – s-a estimat o valoare a creditelor de angajament  și bugetare de 300 mii lei, valoare modificată faţă de programul iniţial, în sumă de 500 mii lei necesare pregătirii şi perfecţionării profesionale a salariaţilor, conform prevederilor Legii nr. 53/2003 Codul muncii, republicată, cu modificările şi completările ulterioare; la acest alineat s-a estimat o economie de 200 mii lei din care se susțin financiar cheltuielile majorate la alineatele din cadrul titlului 20 Bunuri și servicii;</w:t>
            </w:r>
          </w:p>
          <w:p w:rsidR="00AB2812" w:rsidRDefault="00A50DA9">
            <w:pPr>
              <w:pStyle w:val="NoSpacing"/>
              <w:jc w:val="both"/>
            </w:pPr>
            <w:r>
              <w:t>- art. 20.14  Protecţia muncii - s-a estimat o valoare a creditelor de angajament  și bugetare de 50 mii lei, valoare rămasă nemodificată faţă de programul iniţial, destinate asigurării controlului medical la angajare şi periodic pentru cei 256 salariaţi, truse medicale în instituţie, precum şi apă minerală pe timp de caniculă, obligaţii puse în sarcina angajatorului conform prevederilor legale în vigoare;</w:t>
            </w:r>
          </w:p>
          <w:p w:rsidR="00AB2812" w:rsidRDefault="00A50DA9">
            <w:pPr>
              <w:pStyle w:val="NoSpacing"/>
              <w:jc w:val="both"/>
            </w:pPr>
            <w:r>
              <w:t>-  art. 20.25 Cheltuieli judiciare şi extrajudiciare - s-a estimat o valoare a creditelor de angajament  și bugetare de 600 mii lei, valoare modificată faţă de programul iniţial, în sumă de 500 mii lei destinate cheltuielilor judiciare şi extrajudiciare datorate de instituţie prin reprezentanţii săi, prin hotărâri definitive şi irevocabile; suplimentarea cu 100 mii lei a creditelor de angajament și bugetare se asigură din economiile estimate la alte alineate în cadrul titlului 20 Bunuri și servicii;</w:t>
            </w:r>
          </w:p>
          <w:p w:rsidR="00AB2812" w:rsidRDefault="00A50DA9">
            <w:pPr>
              <w:pStyle w:val="NoSpacing"/>
              <w:jc w:val="both"/>
            </w:pPr>
            <w:r>
              <w:t xml:space="preserve">- alin. 20.30.02 Protocol şi reprezentare  - s-a estimat o valoare a creditelor de angajament  și bugetare de 60 mii lei, valoare nemodificată faţă de programul iniţial, destinate organizării de către Administraţia Fondului pentru Mediu a unor evenimente pe plan intern şi internaţional cu respectarea condiţiilor restrictive impuse prin actele normative în vigoare; </w:t>
            </w:r>
          </w:p>
          <w:p w:rsidR="00AB2812" w:rsidRDefault="00A50DA9">
            <w:pPr>
              <w:pStyle w:val="NoSpacing"/>
              <w:jc w:val="both"/>
            </w:pPr>
            <w:r>
              <w:t>- alin. 20.30.03 Prime asigurare non viaţă - s-a estimat o valoare a creditelor de angajament  și bugetare de 75 mii lei, valoare rămasă nemodificată faţă de programul iniţial,  destinate serviciilor de asigurare auto obligatorie, asigurare CASCO pentru autoturismele din dotarea Administraţiei Fondului pentru Mediu;</w:t>
            </w:r>
          </w:p>
          <w:p w:rsidR="00AB2812" w:rsidRDefault="00A50DA9">
            <w:pPr>
              <w:pStyle w:val="NoSpacing"/>
              <w:jc w:val="both"/>
            </w:pPr>
            <w:r>
              <w:t>- alin. 20.30.04 Chirii  - s-a estimat o valoare a creditelor de angajament  și bugetare de 40 mii lei, valoare rămasă nemodificată faţă de programul iniţial, pentru plata chiriilor sediului birourilor teritoriale unde Administraţia Fondului pentru Mediu nu deţine spaţii proprii şi este necesară încheierea unor  spaţii corespunzătoare desfăşurării activităţii personalului;</w:t>
            </w:r>
          </w:p>
          <w:p w:rsidR="00AB2812" w:rsidRDefault="00A50DA9">
            <w:pPr>
              <w:pStyle w:val="NoSpacing"/>
              <w:jc w:val="both"/>
            </w:pPr>
            <w:r>
              <w:t xml:space="preserve">- alin. 20.30.09  Executarea silită a creanţelor bugetare – s-a estimat o valoare a creditelor de angajament  și bugetare de 405 mii lei, valoare  modificată faţă de programul iniţial, în sumă de 405 mii lei pentru cheltuielile cu executarea silită a creanţelor bugetare conform actelor </w:t>
            </w:r>
            <w:r>
              <w:lastRenderedPageBreak/>
              <w:t xml:space="preserve">normative în vigoare;  la acest alineat se estimează o economie de 95 mii lei din care  să fie finanțate cheltuielile majorate în cadrul titlului 20 </w:t>
            </w:r>
            <w:r w:rsidRPr="00823B2E">
              <w:t>Bunuri și</w:t>
            </w:r>
            <w:r>
              <w:t xml:space="preserve"> servicii;  </w:t>
            </w:r>
          </w:p>
          <w:p w:rsidR="00AB2812" w:rsidRDefault="00A50DA9">
            <w:pPr>
              <w:pStyle w:val="NoSpacing"/>
              <w:jc w:val="both"/>
            </w:pPr>
            <w:r>
              <w:t>- alin. 20.30.30 – Alte cheltuieli cu bunuri şi servicii - s-a estimat o valoare a creditelor de angajament  și bugetare de  684 mii lei, valoare nemodificată faţă de programul iniţial, necesare asigurării angajării, ordonanţării şi  plăţii cheltuielilor cu bunuri şi servicii necesare desfăşurării activităţii în cadrul instituţiei.</w:t>
            </w:r>
          </w:p>
          <w:p w:rsidR="00AB2812" w:rsidRDefault="00AB2812">
            <w:pPr>
              <w:pStyle w:val="NoSpacing"/>
              <w:jc w:val="both"/>
            </w:pPr>
          </w:p>
          <w:p w:rsidR="00AB2812" w:rsidRDefault="00A50DA9">
            <w:pPr>
              <w:pStyle w:val="NoSpacing"/>
              <w:jc w:val="both"/>
            </w:pPr>
            <w:r>
              <w:t xml:space="preserve">Cheltuielile în cadrul Titlului 56 „Proiecte cu finanţare din FEN Postaderare” – necesare derulării Programului RONDINE (managementul proiectului sunt estimate în sumă de 41 mii lei, valoare rămasă nemodificată faţă de programul iniţial și  sunt detaliate pe articole astfel: </w:t>
            </w:r>
          </w:p>
          <w:p w:rsidR="00AB2812" w:rsidRDefault="00A50DA9">
            <w:pPr>
              <w:pStyle w:val="NoSpacing"/>
              <w:jc w:val="both"/>
            </w:pPr>
            <w:r>
              <w:t>- art.56.17 Mecanismul financiar SEE – 41 mii lei, valoare rămasă nemodificată faţă de programul iniţial, din care:</w:t>
            </w:r>
          </w:p>
          <w:p w:rsidR="00AB2812" w:rsidRDefault="00A50DA9">
            <w:pPr>
              <w:pStyle w:val="NoSpacing"/>
              <w:jc w:val="both"/>
            </w:pPr>
            <w:r>
              <w:t>- alin.56.17.03 Cheltuieli neeligibile –41 mii lei, valoare rămasă nemodificată faţă de programul iniţial;</w:t>
            </w:r>
          </w:p>
          <w:p w:rsidR="00AB2812" w:rsidRDefault="00A50DA9">
            <w:pPr>
              <w:pStyle w:val="NoSpacing"/>
              <w:jc w:val="both"/>
            </w:pPr>
            <w:r>
              <w:tab/>
            </w:r>
          </w:p>
          <w:p w:rsidR="00AB2812" w:rsidRDefault="00A50DA9">
            <w:pPr>
              <w:pStyle w:val="NoSpacing"/>
              <w:jc w:val="both"/>
            </w:pPr>
            <w:r>
              <w:t>Cheltuielile în cadrul Titlului 70 „Cheltuieli de capital” -  sunt estimate la  o valoare a creditelor de angajament  și bugetare în cuantum de 1.389 mii lei, valoare modificată faţă de programul iniţial, în sumă de 1.239 mii lei și sunt detaliate pe alineate astfel:</w:t>
            </w:r>
          </w:p>
          <w:p w:rsidR="00AB2812" w:rsidRDefault="00A50DA9">
            <w:pPr>
              <w:pStyle w:val="NoSpacing"/>
              <w:jc w:val="both"/>
            </w:pPr>
            <w:r>
              <w:t>- art. 71.01.03 Mobilier, aparatură birotică și alte active corporale- s-a estimat o valoare a creditelor de angajament  și bugetare de 633 mii, valoare modificată faţă de programul iniţial,în sumă de 583 mii lei;</w:t>
            </w:r>
          </w:p>
          <w:p w:rsidR="00AB2812" w:rsidRDefault="00A50DA9">
            <w:pPr>
              <w:pStyle w:val="NoSpacing"/>
              <w:jc w:val="both"/>
            </w:pPr>
            <w:r>
              <w:t>- art. 71.01.30 Alte  active fixe  - s-a estimat o valoare a creditelor de angajament  și bugetare de 756 mii, valoare modificată faţă de programul iniţial,în sumă de 656 mii lei;</w:t>
            </w:r>
          </w:p>
          <w:p w:rsidR="00AB2812" w:rsidRDefault="00A50DA9">
            <w:pPr>
              <w:pStyle w:val="NoSpacing"/>
              <w:jc w:val="both"/>
            </w:pPr>
            <w:r>
              <w:t>Suplimentarea creditelor de angajament și bugetare aferente Titlului 70 ”Cheltuieli de capiltal” este justificată, conform fundamentării compartimentului de specialitate, pentru: înlocuirea serverelor vechi, care prezintă un grad de uzură ridicat, având componente învechite, care nu se mai fabrică, și care nu mai prezintă siguranță în utilizare, punând în pericol informațiile care se stochează și care se prelucrează zilnic; achiziționarea unui sistem de securizare video, antiefracție și alarmare pentru ambele corpuri de clădire în care instituția își desfășoară activitatea; asigurarea securității casieriei instituției; asigurarea siguranței datelor și aplicațiilor utilizate de instituție prin furnizarea unei tensiuni de alimentare constante; înlocuirea centralei telefonice existente, care nu mai corespunde activității instituției și necesităților actuale de extindere; protejarea serverelor, site-ului, aplicațiilor web ale AFM, prin utilizarea mai multor straturi de protecție și apărare, achiziționarea aplicației informatică pentru monitorizarea și verificarea trasabilității deșeurilor de ambalaje în sistemul responsabilității producătorului, achiziționarea aplicației informatice pentru gestionarea participanților în cadrul Programului “Casa verde”, achiziționarea Serviciilor de dezvoltare aplicație informatică pentru gestionarea programului „Centenar”, achizționarea Serviciilor de dezvoltare aplicație informatică pentru gestionarea programului „Casa Verde – panouri foto-voltaice”, achiziționarea Serviciilor de dezvoltare aplicație informatică pentru gestionarea programelor „Rabla” și „Rabla Plus”.</w:t>
            </w:r>
          </w:p>
          <w:p w:rsidR="00AB2812" w:rsidRDefault="00A50DA9">
            <w:pPr>
              <w:pStyle w:val="NoSpacing"/>
              <w:jc w:val="both"/>
            </w:pPr>
            <w:r>
              <w:tab/>
              <w:t xml:space="preserve">Excedentul din bugetul de venituri şi cheltuieli al Administraţiei </w:t>
            </w:r>
            <w:r>
              <w:lastRenderedPageBreak/>
              <w:t>Fondului pentru Mediu pentru anul 2018, estimat la valoarea de 43.157 mii lei, s-a constituit din:</w:t>
            </w:r>
          </w:p>
          <w:p w:rsidR="00AB2812" w:rsidRDefault="00A50DA9">
            <w:pPr>
              <w:pStyle w:val="NoSpacing"/>
              <w:jc w:val="both"/>
            </w:pPr>
            <w:r>
              <w:t xml:space="preserve">-suma de 7.421 mii lei reprezentând diferența dintre veniturile constituite în conformitate cu prevederile art. 7 din O.U.G. nr. 196/2005, în limita a 10% din veniturile Fondului pentru mediu, în valoarea de 40.499 mii lei  și cheltuielile la bugetul Fondului Administrației Fondului pentru Mediu, estimate în sumă de 33.078 mii lei, conform proiect program rectificat; </w:t>
            </w:r>
          </w:p>
          <w:p w:rsidR="00AB2812" w:rsidRDefault="00A50DA9">
            <w:pPr>
              <w:pStyle w:val="NoSpacing"/>
              <w:jc w:val="both"/>
            </w:pPr>
            <w:r>
              <w:t xml:space="preserve">- suma de 35.736 mii lei reprezentând rezultatul reținerii la bugetul Administrației Fondului pentru Mediu a  procentului de 5% din valoarea totală de 714.736 mii lei, provenită veniturile estimate la  paragraful 30.10.11 ” Venituri din vânzarea certificatelor de emisii de gaze cu efect de seră”, </w:t>
            </w:r>
            <w:r w:rsidRPr="002F4DA2">
              <w:t>din anexa nr.1,</w:t>
            </w:r>
            <w:r>
              <w:t xml:space="preserve"> descrise anterior.</w:t>
            </w:r>
          </w:p>
          <w:p w:rsidR="00AB2812" w:rsidRDefault="00AB2812">
            <w:pPr>
              <w:pStyle w:val="NoSpacing"/>
              <w:jc w:val="both"/>
            </w:pPr>
          </w:p>
          <w:p w:rsidR="00AB2812" w:rsidRDefault="00A50DA9">
            <w:pPr>
              <w:pStyle w:val="NoSpacing"/>
              <w:jc w:val="both"/>
              <w:rPr>
                <w:b/>
              </w:rPr>
            </w:pPr>
            <w:r>
              <w:rPr>
                <w:b/>
              </w:rPr>
              <w:t>Finanţarea proiectelor și programelor pentru protecţia mediului  și a categoriilor de proiecte prioritare finanțate din fondul pentru mediu</w:t>
            </w:r>
          </w:p>
          <w:p w:rsidR="00AB2812" w:rsidRDefault="00AB2812">
            <w:pPr>
              <w:pStyle w:val="NoSpacing"/>
              <w:jc w:val="both"/>
            </w:pPr>
          </w:p>
          <w:p w:rsidR="00AB2812" w:rsidRDefault="00A50DA9">
            <w:pPr>
              <w:pStyle w:val="NoSpacing"/>
              <w:jc w:val="both"/>
            </w:pPr>
            <w:r>
              <w:t>Finanţarea proiectelor și programelor pentru protecţia mediului  se face cu respectarea legislaţiei privind ajutorul de stat (unde acest lucru se impune), conform Ordonanţei de urgenţă a Guvernului nr. 77/2014 privind procedurile naţionale în domeniul ajutorului de stat, precum şi pentru modificarea şi completarea Legii concurenţei nr. 21/1996, cu modificările și completările ulterioare.</w:t>
            </w:r>
          </w:p>
          <w:p w:rsidR="00AB2812" w:rsidRDefault="00AB2812">
            <w:pPr>
              <w:pStyle w:val="NoSpacing"/>
              <w:jc w:val="both"/>
            </w:pPr>
          </w:p>
          <w:p w:rsidR="00AB2812" w:rsidRDefault="00A50DA9">
            <w:pPr>
              <w:pStyle w:val="NoSpacing"/>
              <w:jc w:val="both"/>
            </w:pPr>
            <w:r>
              <w:t>În prezent, Administrația Fondului pentru Mediu are în derulare contracte pentru finanțare nerambursabilă semnate în anii anteriori și este în proces de elaborare și modificare a unor ghiduri pentru lansarea unor noi sesiuni în cadrul unor programe existente sau în cadrul unor noi programe de finanțare, sumele necesare urmând a fi asigurate din veniturile Fondului pentru mediu.</w:t>
            </w:r>
          </w:p>
          <w:p w:rsidR="00AB2812" w:rsidRDefault="00A50DA9">
            <w:pPr>
              <w:pStyle w:val="NoSpacing"/>
              <w:jc w:val="both"/>
            </w:pPr>
            <w:r>
              <w:t>Întrucât necesarul de finanțare, atât în ceea ce privește creditele bugetare, pentru susținerea  financiară a contractelor și angajamentelor în vigoare, cât și cel aferent creditelor de angajament, pentru susținerea strategiilor de mediu prin lansarea de noi sesiuni și programe, excede veniturilor încasate potrivit art. 9 alin. (1) din O.U.G. nr. 196/20015, privind Fondul pentru mediu, AFM a întreprins demersurile pentru identificarea și atragerea de noi surse de venit.</w:t>
            </w:r>
          </w:p>
          <w:p w:rsidR="00AB2812" w:rsidRDefault="00A50DA9">
            <w:pPr>
              <w:pStyle w:val="NoSpacing"/>
              <w:jc w:val="both"/>
            </w:pPr>
            <w:r>
              <w:t>Urmare a acestor demersuri, a fost aprobată Ordonanța de urgență a Guvernului nr. 37/2018 pentru modificarea şi completarea Ordonanței de urgență a Guvernului nr. 115/2011  privind stabilirea cadrului instituţional şi autorizarea Guvernului, prin Ministerul Finanţelor Publice, de a scoate la licitaţie certificatele de emisii de gaze cu efect de seră atribuite României  la nivelul Uniunii Europene, potrivit căreia sumele prevăzute la art. 10, alin. (1), lit. b), respectiv art. 11, alin. (1), lit. b) din O.U.G. nr. 115/2011, cu modificările ulterioare, se fac venit la Fondul pentru mediu și se utilizează pentru finanțarea categoriilor de proicte prioritare, stabilite prin ordin al ministrului autorității publice centrale pentru protecția mediului, în domeniile din Directiva 2003/87/CE.</w:t>
            </w:r>
          </w:p>
          <w:p w:rsidR="00AB2812" w:rsidRDefault="00A50DA9">
            <w:pPr>
              <w:pStyle w:val="NoSpacing"/>
              <w:jc w:val="both"/>
            </w:pPr>
            <w:r>
              <w:t xml:space="preserve">Astfel, în temeiul prevederilor art. 12, alin. (1) și (2) din O.U.G. nr. 115/2011, cu modificările și completările ulterioare, precum și în baza art. II alin. (1) din Ordonanţa de urgenţă a Guvernului  nr. 37/2018, a </w:t>
            </w:r>
            <w:r>
              <w:lastRenderedPageBreak/>
              <w:t xml:space="preserve">fost emis </w:t>
            </w:r>
            <w:r>
              <w:rPr>
                <w:b/>
                <w:i/>
              </w:rPr>
              <w:t>Ordinul ministrului mediului nr. 725/10.07.2018 pentru aprobarea listei categoriilor de proiecte prioritare pentru anul 2018</w:t>
            </w:r>
            <w:r>
              <w:t xml:space="preserve">. </w:t>
            </w:r>
            <w:r>
              <w:rPr>
                <w:b/>
              </w:rPr>
              <w:t>Finanțarea proiectelor prevăzute în lista menționată</w:t>
            </w:r>
            <w:r>
              <w:t xml:space="preserve">, se realizează de către Administrația Fondului pentru Mediu în limita sumelor stabilite în </w:t>
            </w:r>
            <w:r>
              <w:rPr>
                <w:b/>
              </w:rPr>
              <w:t>anexa la ordinul menționat</w:t>
            </w:r>
            <w:r>
              <w:t xml:space="preserve"> și a fondurilor aprobate cu această destinație în bugetul de venituri și cheltuieli al Fondului pentru Mediu și Administrației Fondului pentru Mediu pentru anul 2018, </w:t>
            </w:r>
            <w:r>
              <w:rPr>
                <w:b/>
              </w:rPr>
              <w:t>evidențiate în anexa nr. 2b ”Lista sumelor alocate categoriilor de proiecte prioritare finanțate din Fondul pentru mediu în anul 2018”</w:t>
            </w:r>
            <w:r>
              <w:t>- la proiectul de  buget rectificat.</w:t>
            </w:r>
          </w:p>
          <w:p w:rsidR="00AB2812" w:rsidRDefault="00A50DA9">
            <w:pPr>
              <w:pStyle w:val="NoSpacing"/>
              <w:jc w:val="both"/>
            </w:pPr>
            <w:r>
              <w:t xml:space="preserve">        </w:t>
            </w:r>
          </w:p>
          <w:p w:rsidR="00AB2812" w:rsidRDefault="00A50DA9">
            <w:pPr>
              <w:pStyle w:val="NoSpacing"/>
              <w:jc w:val="both"/>
            </w:pPr>
            <w:r>
              <w:t xml:space="preserve"> Conform informațiilor prezentate anterior, cheltuielile cu finanțarea proiectelor și programelor pentru protecția mediului și cheltuielile cu categoriile de proiecte prioritare finanțate din Fondul pentru mediu se fac de la  Titlul 55 ”Alte transferuri”, articol 55.01 „Transferuri interne” – în sumă de 1.198.852 mii lei, valoare modificată faţă de programul iniţial, în sumă de 519.852 mii lei și se compun din: </w:t>
            </w:r>
          </w:p>
          <w:p w:rsidR="00AB2812" w:rsidRDefault="00A50DA9">
            <w:pPr>
              <w:pStyle w:val="NoSpacing"/>
              <w:jc w:val="both"/>
            </w:pPr>
            <w:r>
              <w:t>-</w:t>
            </w:r>
            <w:r>
              <w:tab/>
              <w:t xml:space="preserve">proiecte şi programe pentru protecţia mediului  finanţate din Fondul pentru mediu în anul 2018  în valoare de 519.852 mii lei, valoare nemodificată față de programul inițial (detaliate în anexa nr. 2a -rectificată)  </w:t>
            </w:r>
          </w:p>
          <w:p w:rsidR="00AB2812" w:rsidRDefault="00A50DA9">
            <w:pPr>
              <w:pStyle w:val="NoSpacing"/>
              <w:jc w:val="both"/>
            </w:pPr>
            <w:r>
              <w:t>-</w:t>
            </w:r>
            <w:r>
              <w:tab/>
              <w:t xml:space="preserve"> categorii de proiecte prioritare finanțate din Fondul pentru mediu,  în temeiul Ordinului ministrului mediului nr.725/2018, în valoare de 679.000 mii lei, valoare modificată față de programul inițial în sumă de 0 mii lei (detaliate în anexa nr.2b).</w:t>
            </w:r>
          </w:p>
          <w:p w:rsidR="00AB2812" w:rsidRDefault="00AB2812">
            <w:pPr>
              <w:pStyle w:val="NoSpacing"/>
              <w:jc w:val="both"/>
            </w:pPr>
          </w:p>
          <w:p w:rsidR="00AB2812" w:rsidRDefault="00A50DA9">
            <w:pPr>
              <w:pStyle w:val="NoSpacing"/>
              <w:jc w:val="both"/>
            </w:pPr>
            <w:r>
              <w:rPr>
                <w:b/>
                <w:u w:val="single"/>
              </w:rPr>
              <w:t>A.</w:t>
            </w:r>
            <w:r>
              <w:t xml:space="preserve"> Prin urmare, proiectele și programele pentru protecţia mediului finanțate din Fondul pentru mediu sunt detaliate, conform </w:t>
            </w:r>
            <w:r>
              <w:rPr>
                <w:b/>
              </w:rPr>
              <w:t>anexei nr.2a</w:t>
            </w:r>
            <w:r>
              <w:t xml:space="preserve"> ”</w:t>
            </w:r>
            <w:r>
              <w:rPr>
                <w:b/>
              </w:rPr>
              <w:t>Lista sumelor alocate proiectelor și programelor pentru protecția mediului finanțate din Fondul pentru mediu</w:t>
            </w:r>
            <w:r w:rsidR="009A2C0B">
              <w:rPr>
                <w:b/>
              </w:rPr>
              <w:t xml:space="preserve"> în anul 2018</w:t>
            </w:r>
            <w:r>
              <w:rPr>
                <w:b/>
              </w:rPr>
              <w:t xml:space="preserve"> - rectificată</w:t>
            </w:r>
            <w:r>
              <w:t>”, astfel:</w:t>
            </w:r>
          </w:p>
          <w:p w:rsidR="00AB2812" w:rsidRDefault="00AB2812">
            <w:pPr>
              <w:pStyle w:val="NoSpacing"/>
              <w:jc w:val="both"/>
            </w:pPr>
          </w:p>
          <w:p w:rsidR="00AB2812" w:rsidRDefault="00A50DA9">
            <w:pPr>
              <w:pStyle w:val="NoSpacing"/>
              <w:jc w:val="both"/>
            </w:pPr>
            <w:r>
              <w:t xml:space="preserve">1) </w:t>
            </w:r>
            <w:r>
              <w:rPr>
                <w:i/>
              </w:rPr>
              <w:t>categoria a)-  reducerea impactului asupra atmosferei, apei şi solului, inclusiv monitorizarea calităţii aerului</w:t>
            </w:r>
            <w:r>
              <w:t xml:space="preserve"> </w:t>
            </w:r>
          </w:p>
          <w:p w:rsidR="00AB2812" w:rsidRDefault="00A50DA9">
            <w:pPr>
              <w:pStyle w:val="NoSpacing"/>
              <w:jc w:val="both"/>
            </w:pPr>
            <w:r>
              <w:t>-credite de angajament – 20.000 mii lei, valoare rămasă nemodificată faţă de programul iniţial;</w:t>
            </w:r>
          </w:p>
          <w:p w:rsidR="00AB2812" w:rsidRDefault="00A50DA9">
            <w:pPr>
              <w:pStyle w:val="NoSpacing"/>
              <w:jc w:val="both"/>
            </w:pPr>
            <w:r>
              <w:t>-credite bugetare – 0 mii lei, valoare modificată faţă de programul iniţial, în sumă de 20.000 mii lei.</w:t>
            </w:r>
          </w:p>
          <w:p w:rsidR="00AB2812" w:rsidRDefault="00A50DA9">
            <w:pPr>
              <w:pStyle w:val="NoSpacing"/>
              <w:jc w:val="both"/>
            </w:pPr>
            <w:r>
              <w:t>Creditele bugetare necesare angajării, lichidării, ordonanțării și plății contractelor în valoare de 20.000 mii lei sunt prevăzute la categoria g) - Programul vizând transporturile tip RO-LA, pentru stimularea trecerii transportului de marfă dinspre transportul rutier către calea ferată, în scopul reducerii emisiilor de gaze cu efect de seră din sectorul transport, din anexa 2b la proiectul de buget rectificat,”Lista sume</w:t>
            </w:r>
            <w:r w:rsidR="00DF467E">
              <w:t>l</w:t>
            </w:r>
            <w:r>
              <w:t xml:space="preserve">or alocate categoriilor de proiecte prioritare finanțate din Fondul pentru mediu în anul 2018”. </w:t>
            </w:r>
          </w:p>
          <w:p w:rsidR="00AB2812" w:rsidRDefault="00A50DA9">
            <w:pPr>
              <w:pStyle w:val="NoSpacing"/>
              <w:jc w:val="both"/>
            </w:pPr>
            <w:r>
              <w:t xml:space="preserve">Diminuarea creditelor bugetare cu 20.000 mii lei, conform fundamentării direcției de specialitate , este justificată astfel: ”Urmare a finalizării sesiunii deschise în cadrul Programului, a fost selectat un proiect în vederea încheierii contractului pentru finanțare nerambursabilă, în limita creditelor de angajament existente. Pentru efectuarea plăților în cadrul acestui proiect, vor fi utilizate creditele bugetare prevăzute în anexa 2b, la lit. g); prin urmare, au fost diminuate </w:t>
            </w:r>
            <w:r>
              <w:lastRenderedPageBreak/>
              <w:t>creditele bugetare din anexa 2a, de la lit. a), cu 20.000 mii lei.”</w:t>
            </w:r>
          </w:p>
          <w:p w:rsidR="00AB2812" w:rsidRDefault="00AB2812">
            <w:pPr>
              <w:pStyle w:val="NoSpacing"/>
              <w:jc w:val="both"/>
            </w:pPr>
          </w:p>
          <w:p w:rsidR="00AB2812" w:rsidRDefault="00A50DA9">
            <w:pPr>
              <w:pStyle w:val="NoSpacing"/>
              <w:jc w:val="both"/>
            </w:pPr>
            <w:r>
              <w:t>2)</w:t>
            </w:r>
            <w:r>
              <w:rPr>
                <w:i/>
              </w:rPr>
              <w:t>categoria c)- gestionarea deșeurilor</w:t>
            </w:r>
          </w:p>
          <w:p w:rsidR="00AB2812" w:rsidRDefault="00A50DA9">
            <w:pPr>
              <w:pStyle w:val="NoSpacing"/>
              <w:jc w:val="both"/>
            </w:pPr>
            <w:r>
              <w:t>-credite de angajament: 146.745 mii lei, valoare modificată faţă de programul iniţial, în sumă de 76.745 mii lei;</w:t>
            </w:r>
          </w:p>
          <w:p w:rsidR="00AB2812" w:rsidRDefault="00A50DA9">
            <w:pPr>
              <w:pStyle w:val="NoSpacing"/>
              <w:jc w:val="both"/>
            </w:pPr>
            <w:r>
              <w:t xml:space="preserve">-credite bugetare: </w:t>
            </w:r>
            <w:r w:rsidRPr="002F4DA2">
              <w:t>26.995</w:t>
            </w:r>
            <w:r>
              <w:t xml:space="preserve"> mii lei, valoare modificată faţă de programul iniţial, în sumă de 10.995 mii lei.</w:t>
            </w:r>
          </w:p>
          <w:p w:rsidR="00AB2812" w:rsidRDefault="00A50DA9">
            <w:pPr>
              <w:pStyle w:val="NoSpacing"/>
              <w:jc w:val="both"/>
            </w:pPr>
            <w:r>
              <w:t>Necesitatea suplimentării creditelor de angajament și bugetare, conform fundamentării direcției de specialitate, este justificată astfel: ”În concordanță cu Planul Naţional de Gestionare a Deşeurilor, AFM a întreprins, în anul 2018, demersuri pentru crearea cadrului legal necesar lansării unor sesiuni de finanțare în cadrul acestui Program, inclusiv prin inițierea unui proiect de schemă de ajutor de stat, aflat în proceduri de avizare și aprobare. Ținând cont că aceste demersuri se preconizează a fi finalizate în perioada următoare, precum și având în vedere anvergura acestui tip de proiecte, este necesară alocarea de fonduri substanțiale pentru ca Programul să aibă un real impact asupra atingerii obiectivelor de mediu. În contextul precizat, propunem suplimentarea creditelor de angajament cu 70.000 mii lei, în vederea lansării sesiunii de depunere a proiectelor și semnării contractelor pentru finanțare nerambursabilă.De asemenea, propunem suplimentarea creditelor bugetare cu 16.000 mii lei în vederea efectuării plăților în cadrul proiectelor ce vor fi contractate în cadrul acestei categorii.”</w:t>
            </w:r>
          </w:p>
          <w:p w:rsidR="00AB2812" w:rsidRDefault="00AB2812">
            <w:pPr>
              <w:pStyle w:val="NoSpacing"/>
              <w:jc w:val="both"/>
            </w:pPr>
          </w:p>
          <w:p w:rsidR="00AB2812" w:rsidRDefault="00A50DA9">
            <w:pPr>
              <w:pStyle w:val="NoSpacing"/>
              <w:jc w:val="both"/>
            </w:pPr>
            <w:r>
              <w:t xml:space="preserve">3) </w:t>
            </w:r>
            <w:r>
              <w:rPr>
                <w:i/>
              </w:rPr>
              <w:t>categoria d) - protecţia resurselor de apă, sisteme integrate de alimentare cu apă, staţii de tratare, canalizare şi staţii de epurare</w:t>
            </w:r>
          </w:p>
          <w:p w:rsidR="00AB2812" w:rsidRDefault="00A50DA9">
            <w:pPr>
              <w:pStyle w:val="NoSpacing"/>
              <w:jc w:val="both"/>
            </w:pPr>
            <w:r>
              <w:t>-credite de angajament: 0 mii lei, valoare rămasă nemodificată faţă de programul iniţial;</w:t>
            </w:r>
          </w:p>
          <w:p w:rsidR="00AB2812" w:rsidRDefault="00A50DA9">
            <w:pPr>
              <w:pStyle w:val="NoSpacing"/>
              <w:jc w:val="both"/>
            </w:pPr>
            <w:r>
              <w:t>-credite bugetare: 180.000 mii lei, valoare valoare modificată faţă de programul iniţial, în sumă de 175.000 mii lei;</w:t>
            </w:r>
          </w:p>
          <w:p w:rsidR="00AB2812" w:rsidRDefault="00A50DA9">
            <w:pPr>
              <w:pStyle w:val="NoSpacing"/>
              <w:jc w:val="both"/>
            </w:pPr>
            <w:r>
              <w:t xml:space="preserve"> Necesitatea suplimentării creditelor bugetare, conform fundamentării direcției de specialitate, este justificată astfel: ”Suplimentarea, în cadrul categoriei d) - protecţia resurselor de apă, sisteme integrate de alimentare cu apă, staţii de tratare, canalizare şi staţii de epurare, a creditelor bugetare cu valoarea de 5.000 mii lei, este necesară  având în vedere </w:t>
            </w:r>
            <w:r>
              <w:rPr>
                <w:i/>
              </w:rPr>
              <w:t>Ordinul ministrului mediului nr. 512/2018 privind modificarea și completarea Ghidului de finantare a Programului vizand protecția resurselor de apă, sisteme integrate de alimentare cu apă, stații de tratare, canalizare și stații de epurare, aprobat prin Ordinul ministrului mediului și pădurilor nr. 1.450/201</w:t>
            </w:r>
            <w:r>
              <w:t>”.</w:t>
            </w:r>
          </w:p>
          <w:p w:rsidR="00AB2812" w:rsidRDefault="00AB2812">
            <w:pPr>
              <w:pStyle w:val="NoSpacing"/>
              <w:jc w:val="both"/>
            </w:pPr>
          </w:p>
          <w:p w:rsidR="00AB2812" w:rsidRDefault="00A50DA9">
            <w:pPr>
              <w:pStyle w:val="NoSpacing"/>
              <w:jc w:val="both"/>
            </w:pPr>
            <w:r>
              <w:t>4)</w:t>
            </w:r>
            <w:r>
              <w:rPr>
                <w:i/>
              </w:rPr>
              <w:t>categoria g) - împădurirea terenurilor degradate, reconstrucţia ecologică şi gospodărirea durabilă a pădurilor</w:t>
            </w:r>
          </w:p>
          <w:p w:rsidR="00AB2812" w:rsidRDefault="00A50DA9">
            <w:pPr>
              <w:pStyle w:val="NoSpacing"/>
              <w:jc w:val="both"/>
            </w:pPr>
            <w:r>
              <w:t xml:space="preserve">-credite de angajament: 4.654 mii lei, valoare modificată faţă de programul iniţial, în sumă de 200 mii lei, modificată prin </w:t>
            </w:r>
            <w:r>
              <w:rPr>
                <w:i/>
              </w:rPr>
              <w:t>Ordinul ministrului mediului nr. 545/2018 privind aprobarea efectuării virării de credite de angajament între programele și proiectele prevăzute în anexa nr.2 ”Lista sumelor alocate proiectelor și programelor pentru protecția mediului finanțate din Fondul pentru mediu în anul 2018” la Hotărârea Guvernului nr. 56/2018 pentru aprobarea bugetului de venituri şi cheltuieli pe anul 2018 al Fondului pentru mediu şi al Administraţiei Fondului pentru Mediu</w:t>
            </w:r>
            <w:r>
              <w:t xml:space="preserve"> la suma  de 1.654 mii lei;</w:t>
            </w:r>
          </w:p>
          <w:p w:rsidR="00AB2812" w:rsidRDefault="00A50DA9">
            <w:pPr>
              <w:pStyle w:val="NoSpacing"/>
              <w:jc w:val="both"/>
            </w:pPr>
            <w:r>
              <w:t xml:space="preserve">-credite bugetare:  15.000 mii lei, valoare modificată faţă de programul </w:t>
            </w:r>
            <w:r>
              <w:lastRenderedPageBreak/>
              <w:t>iniţial, în sumă de 20.000 mii lei;</w:t>
            </w:r>
          </w:p>
          <w:p w:rsidR="00AB2812" w:rsidRDefault="00A50DA9">
            <w:pPr>
              <w:pStyle w:val="NoSpacing"/>
              <w:jc w:val="both"/>
            </w:pPr>
            <w:r>
              <w:t>Necesitatea suplimentării creditelor  de angajament și a diminuării creditelor bugetare, conform fundamentării direcției de specialitate , este justificată astfel: ”Suplimentarea creditelor de angajament cu 3.000 mii lei reprezintă valoarea cumulată a cererilor de tragere depuse și nefinanțate în cadrul unor contracte care au fost reziliate, sumele aferente acestora fiind diminuate corespunzător. În baza unor sentințe/decizii/hotărâri judecătorești rămase definitive, prin care au fost anulate deciziile de reziliere, sumele aferente acestor contracte trebuie angajate. Diminuarea creditelor bugtare cu 5.000 mii lei, până la valoarea de 15.000 mii lei, este necesară având în vedere următoarele:</w:t>
            </w:r>
          </w:p>
          <w:p w:rsidR="00AB2812" w:rsidRDefault="00A50DA9">
            <w:pPr>
              <w:pStyle w:val="NoSpacing"/>
              <w:jc w:val="both"/>
            </w:pPr>
            <w:r>
              <w:t>- la data întocmirii prezentei, sunt depuse cereri de tragere și nefinanțate  în  valoare de 4.988 mii lei.</w:t>
            </w:r>
          </w:p>
          <w:p w:rsidR="00AB2812" w:rsidRDefault="00A50DA9">
            <w:pPr>
              <w:pStyle w:val="NoSpacing"/>
              <w:jc w:val="both"/>
            </w:pPr>
            <w:r>
              <w:t>- plăţile efectuate până la data prezentei sunt de 2.372 mii lei.</w:t>
            </w:r>
          </w:p>
          <w:p w:rsidR="00AB2812" w:rsidRDefault="00A50DA9">
            <w:pPr>
              <w:pStyle w:val="NoSpacing"/>
              <w:jc w:val="both"/>
            </w:pPr>
            <w:r>
              <w:t>- pentru unele contracte suspendate nu există premisele efectuării plăților în acest an, ținând cont de diferitele stadii litigioase în care se află;</w:t>
            </w:r>
          </w:p>
          <w:p w:rsidR="00AB2812" w:rsidRDefault="00A50DA9">
            <w:pPr>
              <w:pStyle w:val="NoSpacing"/>
              <w:jc w:val="both"/>
            </w:pPr>
            <w:r>
              <w:t>- până la momentul actual, în implementarea proiectelor au intervenit numeroase solicitări de amânare a cererilor de tragere, depuse de beneficiari.</w:t>
            </w:r>
          </w:p>
          <w:p w:rsidR="00AB2812" w:rsidRDefault="00A50DA9">
            <w:pPr>
              <w:pStyle w:val="NoSpacing"/>
              <w:jc w:val="both"/>
            </w:pPr>
            <w:r>
              <w:t>Preconizăm că până la finalul anului se vor efectua plăți de maximum 15.000 mii lei în cadrul acestei categorii de proiecte.”</w:t>
            </w:r>
          </w:p>
          <w:p w:rsidR="00AB2812" w:rsidRDefault="00AB2812">
            <w:pPr>
              <w:pStyle w:val="NoSpacing"/>
              <w:jc w:val="both"/>
            </w:pPr>
          </w:p>
          <w:p w:rsidR="00AB2812" w:rsidRDefault="00A50DA9">
            <w:pPr>
              <w:pStyle w:val="NoSpacing"/>
              <w:jc w:val="both"/>
            </w:pPr>
            <w:r>
              <w:t xml:space="preserve">5) </w:t>
            </w:r>
            <w:r>
              <w:rPr>
                <w:i/>
              </w:rPr>
              <w:t>categoria h) - educația și conștientizarea publicului privind protecția mediului</w:t>
            </w:r>
          </w:p>
          <w:p w:rsidR="00AB2812" w:rsidRDefault="00A50DA9">
            <w:pPr>
              <w:pStyle w:val="NoSpacing"/>
              <w:jc w:val="both"/>
            </w:pPr>
            <w:r>
              <w:t>-credite de angajament: 25.000 mii lei, valoare modificată faţă de programul iniţial, în sumă de 10.000 mii lei, modificată prin Ordinul ministerului mediului nr. 545/2018 la suma  de 8.546 mii lei;</w:t>
            </w:r>
          </w:p>
          <w:p w:rsidR="00AB2812" w:rsidRDefault="00A50DA9">
            <w:pPr>
              <w:pStyle w:val="NoSpacing"/>
              <w:jc w:val="both"/>
            </w:pPr>
            <w:r>
              <w:t>-credite bugetare: 25.000 mii lei, valoare modificată faţă de programul iniţial, în sumă de 0  mii lei;</w:t>
            </w:r>
          </w:p>
          <w:p w:rsidR="00AB2812" w:rsidRDefault="00A50DA9">
            <w:pPr>
              <w:pStyle w:val="NoSpacing"/>
              <w:jc w:val="both"/>
            </w:pPr>
            <w:r>
              <w:t>Necesitatea suplimentării creditelor de angajament și bugetare, conform fundamentării direcției de specialitate, este justificată astfel:                         ”Conștientizarea publicului cu privire la colectarea selectivă a deșeurilor reprezintă o componentă importantă în domeniul gestionării acestora, sens în care a fost elaborat un proiect de ghid de finanțare cu această temă, în vederea lansării unor noi sesiuni de finanțare. În acest context sumele suplimentate sunt destinate deschiderii de noi sesiuni, semnării de noi contracte și efectuării de plăți în cadrul acestei categorii”.</w:t>
            </w:r>
          </w:p>
          <w:p w:rsidR="00AB2812" w:rsidRDefault="00AB2812">
            <w:pPr>
              <w:pStyle w:val="NoSpacing"/>
              <w:jc w:val="both"/>
            </w:pPr>
          </w:p>
          <w:p w:rsidR="00AB2812" w:rsidRDefault="00A50DA9">
            <w:pPr>
              <w:pStyle w:val="NoSpacing"/>
              <w:jc w:val="both"/>
              <w:rPr>
                <w:i/>
              </w:rPr>
            </w:pPr>
            <w:r>
              <w:t xml:space="preserve">6) </w:t>
            </w:r>
            <w:r>
              <w:rPr>
                <w:i/>
              </w:rPr>
              <w:t>categoria i) - creşterea producţiei de energie din surse regenerabile</w:t>
            </w:r>
          </w:p>
          <w:p w:rsidR="00AB2812" w:rsidRDefault="00A50DA9">
            <w:pPr>
              <w:pStyle w:val="NoSpacing"/>
              <w:jc w:val="both"/>
            </w:pPr>
            <w:r>
              <w:t>-credite de angajament: 5.657 mii lei, valoare rămasă nemodificată faţă de programul iniţial;</w:t>
            </w:r>
          </w:p>
          <w:p w:rsidR="00AB2812" w:rsidRDefault="00A50DA9">
            <w:pPr>
              <w:pStyle w:val="NoSpacing"/>
              <w:jc w:val="both"/>
            </w:pPr>
            <w:r>
              <w:t>-credite bugetare: 5.657 mii lei, valoare rămasă nemodificată faţă de programul iniţial</w:t>
            </w:r>
          </w:p>
          <w:p w:rsidR="00AB2812" w:rsidRDefault="00AB2812">
            <w:pPr>
              <w:pStyle w:val="NoSpacing"/>
              <w:jc w:val="both"/>
            </w:pPr>
          </w:p>
          <w:p w:rsidR="00AB2812" w:rsidRDefault="00A50DA9">
            <w:pPr>
              <w:pStyle w:val="NoSpacing"/>
              <w:jc w:val="both"/>
            </w:pPr>
            <w:r>
              <w:t xml:space="preserve">7) </w:t>
            </w:r>
            <w:r>
              <w:rPr>
                <w:i/>
              </w:rPr>
              <w:t>categoria m) - efectuarea de  monitorizări, studii şi cercetări în domeniul protecţiei mediului şi schimbărilor climatice privind sarcini derivate din acorduri internaţionale, directive europene sau alte reglementări naţionale sau internaţionale, precum şi cercetare-dezvoltare în domeniul schimbărilor climatice</w:t>
            </w:r>
          </w:p>
          <w:p w:rsidR="00AB2812" w:rsidRDefault="00A50DA9">
            <w:pPr>
              <w:pStyle w:val="NoSpacing"/>
              <w:jc w:val="both"/>
            </w:pPr>
            <w:r>
              <w:t>-credite de angajament: 26.950 mii lei, valoare rămasă nemodificată faţă de programul iniţial;</w:t>
            </w:r>
          </w:p>
          <w:p w:rsidR="00AB2812" w:rsidRDefault="00A50DA9">
            <w:pPr>
              <w:pStyle w:val="NoSpacing"/>
              <w:jc w:val="both"/>
            </w:pPr>
            <w:r>
              <w:t xml:space="preserve">-credite bugetare:  10.000 mii lei, valoare rămasă nemodificată faţă de </w:t>
            </w:r>
            <w:r>
              <w:lastRenderedPageBreak/>
              <w:t>programul iniţial</w:t>
            </w:r>
          </w:p>
          <w:p w:rsidR="00AB2812" w:rsidRDefault="00AB2812">
            <w:pPr>
              <w:pStyle w:val="NoSpacing"/>
              <w:jc w:val="both"/>
            </w:pPr>
          </w:p>
          <w:p w:rsidR="00AB2812" w:rsidRDefault="00A50DA9">
            <w:pPr>
              <w:pStyle w:val="NoSpacing"/>
              <w:jc w:val="both"/>
            </w:pPr>
            <w:r>
              <w:t xml:space="preserve">8) </w:t>
            </w:r>
            <w:r>
              <w:rPr>
                <w:i/>
              </w:rPr>
              <w:t>categoria o) - închiderea iazurilor de decantare din sectorul minier</w:t>
            </w:r>
          </w:p>
          <w:p w:rsidR="00AB2812" w:rsidRDefault="00A50DA9">
            <w:pPr>
              <w:pStyle w:val="NoSpacing"/>
              <w:jc w:val="both"/>
            </w:pPr>
            <w:r>
              <w:t>-credite de angajament: 0 mii lei, valoare rămasă nemodificată faţă de programul iniţial;</w:t>
            </w:r>
          </w:p>
          <w:p w:rsidR="00AB2812" w:rsidRDefault="00A50DA9">
            <w:pPr>
              <w:pStyle w:val="NoSpacing"/>
              <w:jc w:val="both"/>
            </w:pPr>
            <w:r>
              <w:t>-credite bugetare:  0 mii lei, valoare modificată faţă de programul iniţial, în sumă de 0 mii lei</w:t>
            </w:r>
          </w:p>
          <w:p w:rsidR="00AB2812" w:rsidRDefault="00AB2812">
            <w:pPr>
              <w:pStyle w:val="NoSpacing"/>
              <w:jc w:val="both"/>
            </w:pPr>
          </w:p>
          <w:p w:rsidR="00AB2812" w:rsidRDefault="00A50DA9">
            <w:pPr>
              <w:pStyle w:val="NoSpacing"/>
              <w:jc w:val="both"/>
            </w:pPr>
            <w:r>
              <w:t xml:space="preserve">9) </w:t>
            </w:r>
            <w:r>
              <w:rPr>
                <w:i/>
              </w:rPr>
              <w:t>categoria q) - instalarea sistemelor de încălzire care utilizează energie regenerabilă, inclusiv înlocuirea sau completarea sistemelor clasice de încălzire</w:t>
            </w:r>
          </w:p>
          <w:p w:rsidR="00AB2812" w:rsidRDefault="00A50DA9">
            <w:pPr>
              <w:pStyle w:val="NoSpacing"/>
              <w:jc w:val="both"/>
            </w:pPr>
            <w:r>
              <w:t xml:space="preserve">-credite de angajament: 620  mii lei, modificată faţă de programul iniţial, în sumă de </w:t>
            </w:r>
            <w:r w:rsidRPr="00A534DF">
              <w:t>300</w:t>
            </w:r>
            <w:r>
              <w:t xml:space="preserve">  mii lei;</w:t>
            </w:r>
          </w:p>
          <w:p w:rsidR="00AB2812" w:rsidRDefault="00A50DA9">
            <w:pPr>
              <w:pStyle w:val="NoSpacing"/>
              <w:jc w:val="both"/>
            </w:pPr>
            <w:r>
              <w:t>-credite bugetare: 42.000 mii lei, valoare modificată faţă de programul iniţial, în sumă de 35.000 mii lei;</w:t>
            </w:r>
          </w:p>
          <w:p w:rsidR="00AB2812" w:rsidRDefault="00A50DA9">
            <w:pPr>
              <w:pStyle w:val="NoSpacing"/>
              <w:jc w:val="both"/>
            </w:pPr>
            <w:r>
              <w:t>Necesitatea suplimentării creditelor de angajament și bugetare, conform fundamentării direcției de specialitate, este justificată astfel:                          ”Suplimentarea creditelor de angajament este necesară pentru încheierea  contractului de finanțare a proiectului aprobat în sesiunea din 17.10-14.11.2016 (persoane juridice).</w:t>
            </w:r>
          </w:p>
          <w:p w:rsidR="00AB2812" w:rsidRDefault="00A50DA9">
            <w:pPr>
              <w:pStyle w:val="NoSpacing"/>
              <w:jc w:val="both"/>
            </w:pPr>
            <w:r>
              <w:t>Suplimentarea creditelor bugetare este necesară pentru finanțarea tuturor proiectelor rămase de finanțat în cadrul acestei categorii.”</w:t>
            </w:r>
          </w:p>
          <w:p w:rsidR="00AB2812" w:rsidRDefault="00A50DA9">
            <w:pPr>
              <w:pStyle w:val="NoSpacing"/>
              <w:jc w:val="both"/>
            </w:pPr>
            <w:r>
              <w:t xml:space="preserve">10) </w:t>
            </w:r>
            <w:r>
              <w:rPr>
                <w:i/>
              </w:rPr>
              <w:t>categoria r) - Programul naţional de îmbunătăţire a calităţii mediului prin realizarea de spaţii verzi în localităţile din mediul urban</w:t>
            </w:r>
          </w:p>
          <w:p w:rsidR="00AB2812" w:rsidRDefault="00A50DA9">
            <w:pPr>
              <w:pStyle w:val="NoSpacing"/>
              <w:jc w:val="both"/>
            </w:pPr>
            <w:r>
              <w:t>-credite de angajament: 0 mii lei, valoare nemodificată faţă de programul iniţial;</w:t>
            </w:r>
          </w:p>
          <w:p w:rsidR="00AB2812" w:rsidRDefault="00A50DA9">
            <w:pPr>
              <w:pStyle w:val="NoSpacing"/>
              <w:jc w:val="both"/>
            </w:pPr>
            <w:r>
              <w:t>-credite bugetare: 200 mii lei, valoare nemodificată faţă de programul iniţial</w:t>
            </w:r>
          </w:p>
          <w:p w:rsidR="00AB2812" w:rsidRDefault="00AB2812">
            <w:pPr>
              <w:pStyle w:val="NoSpacing"/>
              <w:jc w:val="both"/>
            </w:pPr>
          </w:p>
          <w:p w:rsidR="00AB2812" w:rsidRDefault="00A50DA9">
            <w:pPr>
              <w:pStyle w:val="NoSpacing"/>
              <w:jc w:val="both"/>
            </w:pPr>
            <w:r>
              <w:t xml:space="preserve">11) </w:t>
            </w:r>
            <w:r>
              <w:rPr>
                <w:i/>
              </w:rPr>
              <w:t>categoria s) - Programul de stimulare a înnoirii Parcului auto naţional</w:t>
            </w:r>
          </w:p>
          <w:p w:rsidR="00AB2812" w:rsidRDefault="00A50DA9">
            <w:pPr>
              <w:pStyle w:val="NoSpacing"/>
              <w:jc w:val="both"/>
            </w:pPr>
            <w:r>
              <w:t>-credite de angajament: 166.000 mii lei, valoare modificată faţă de programul iniţial, în sumă de 133.000 mii lei;</w:t>
            </w:r>
          </w:p>
          <w:p w:rsidR="00AB2812" w:rsidRDefault="00A50DA9">
            <w:pPr>
              <w:pStyle w:val="NoSpacing"/>
              <w:jc w:val="both"/>
            </w:pPr>
            <w:r>
              <w:t>-creditele bugetare: 183.000 mii lei, valoare modificată faţă de programul iniţial, în sumă de 150.000 mii lei.</w:t>
            </w:r>
          </w:p>
          <w:p w:rsidR="00AB2812" w:rsidRDefault="00A50DA9">
            <w:pPr>
              <w:pStyle w:val="NoSpacing"/>
              <w:jc w:val="both"/>
            </w:pPr>
            <w:r>
              <w:t>Necesitatea suplimentării creditelor de angajament și bugetare, conform fundamentării direcției de specialitate , este justificată astfel: ”Având în vedere numarul mare de solicitări primite până în prezent, atât din partea persoanelor fizice, cât și din partea persoanelor juridice, și ținând cont de faptul că sesiunea de depunere a dosarelor de către persoanele juridice și de înscriere a persoanelor fizice se desfășoară până la sfârșitul lunii septembrie, este necesară suplimentarea creditelor de  angajament cu 33.000 mii lei. De asemenea, având în vedere că sumele alocate ambelor categorii de solicitanți sunt puse la dispoziție pentru a fi rezervate prin aplicația informatică de gestionare a PSIPAN, este necesară suplimentarea creditelor bugetare cu 33.000 mii lei.”</w:t>
            </w:r>
          </w:p>
          <w:p w:rsidR="00AB2812" w:rsidRDefault="00AB2812">
            <w:pPr>
              <w:pStyle w:val="NoSpacing"/>
              <w:jc w:val="both"/>
            </w:pPr>
          </w:p>
          <w:p w:rsidR="00AB2812" w:rsidRDefault="00A50DA9">
            <w:pPr>
              <w:pStyle w:val="NoSpacing"/>
              <w:jc w:val="both"/>
            </w:pPr>
            <w:r>
              <w:t>12)</w:t>
            </w:r>
            <w:r>
              <w:rPr>
                <w:i/>
              </w:rPr>
              <w:t>categoria v) – Programul de dezvoltare şi optimizare a Reţelei Naţionale de Monitorizare a Calităţii Aerului</w:t>
            </w:r>
          </w:p>
          <w:p w:rsidR="00AB2812" w:rsidRDefault="00A50DA9">
            <w:pPr>
              <w:pStyle w:val="NoSpacing"/>
              <w:jc w:val="both"/>
            </w:pPr>
            <w:r>
              <w:t>-credite de angajament: 0 mii lei, valoare rămasă nemodificată faţă de programul iniţial;</w:t>
            </w:r>
          </w:p>
          <w:p w:rsidR="00AB2812" w:rsidRDefault="00A50DA9">
            <w:pPr>
              <w:pStyle w:val="NoSpacing"/>
              <w:jc w:val="both"/>
            </w:pPr>
            <w:r>
              <w:t>-creditele bugetare: 15.000 mii lei, valoare modificată faţă de programul iniţial, în sumă de 13.000 mii lei.</w:t>
            </w:r>
          </w:p>
          <w:p w:rsidR="00AB2812" w:rsidRDefault="00A50DA9">
            <w:pPr>
              <w:pStyle w:val="NoSpacing"/>
              <w:jc w:val="both"/>
            </w:pPr>
            <w:r>
              <w:lastRenderedPageBreak/>
              <w:t>Necesitatea suplimentării creditelor bugetare, conform fundamentării direcției de specialitate, este justificată astfel: ”La data întocmirii prezentei, pentru proiectul în derulare, în cadrul acestei categorii,  sunt depuse cereri de decontare în valoare de 7.125.139 lei. Valoarea plătită până în prezent este 6.186.417,94 lei. Necesarul de plată până la sfârșitul anului este de 7.140.000 lei, pentru contractul în derulare, conform graficului de finanțare. Propunem suplimentarea creditelor bugetare cu suma de 2.000 mii lei.”</w:t>
            </w:r>
          </w:p>
          <w:p w:rsidR="00AB2812" w:rsidRDefault="00AB2812">
            <w:pPr>
              <w:pStyle w:val="NoSpacing"/>
              <w:jc w:val="both"/>
            </w:pPr>
          </w:p>
          <w:p w:rsidR="00AB2812" w:rsidRDefault="00A50DA9">
            <w:pPr>
              <w:pStyle w:val="NoSpacing"/>
              <w:jc w:val="both"/>
            </w:pPr>
            <w:r>
              <w:t xml:space="preserve">13) </w:t>
            </w:r>
            <w:r>
              <w:rPr>
                <w:i/>
              </w:rPr>
              <w:t>categoria w) – reducerea emisiilor de gaze cu efect de seră în transporturi, prin promovarea vehiculelor de transport rutier nepoluante din punct de vedere energetic</w:t>
            </w:r>
          </w:p>
          <w:p w:rsidR="00AB2812" w:rsidRDefault="00A50DA9">
            <w:pPr>
              <w:pStyle w:val="NoSpacing"/>
              <w:jc w:val="both"/>
            </w:pPr>
            <w:r>
              <w:t>-credite de angajament: 50.000 mii lei, valoare modificată faţă de programul iniţial, în sumă de 120.000 mii lei;</w:t>
            </w:r>
          </w:p>
          <w:p w:rsidR="00AB2812" w:rsidRDefault="00A50DA9">
            <w:pPr>
              <w:pStyle w:val="NoSpacing"/>
              <w:jc w:val="both"/>
            </w:pPr>
            <w:r>
              <w:t>-creditele bugetare: 17.000 mii lei, valoare modificată faţă de programul iniţial, în sumă de 80.000 mii lei.</w:t>
            </w:r>
          </w:p>
          <w:p w:rsidR="00AB2812" w:rsidRDefault="00A50DA9">
            <w:pPr>
              <w:pStyle w:val="NoSpacing"/>
              <w:jc w:val="both"/>
            </w:pPr>
            <w:r>
              <w:t>Diferența creditelor de angajament de 70.000 mii lei este prevăzută la litera f</w:t>
            </w:r>
            <w:r>
              <w:rPr>
                <w:i/>
              </w:rPr>
              <w:t>) Programul privind reducerea emisiilor de gaze cu efect de seră în transporturi, prin promovarea vehiculelor de transport rutier nepoluante din punct de vedere energetic, 2017-2019,</w:t>
            </w:r>
            <w:r>
              <w:t xml:space="preserve">  din anexa nr. 2b  la proiectul de buget </w:t>
            </w:r>
            <w:r w:rsidRPr="00F8597A">
              <w:t>rectificat</w:t>
            </w:r>
            <w:r>
              <w:t>, ”Lista sumelor alocate categoriilor de proiecte prioritare finanțate din Fondul pentru mediu în anul 2018”.</w:t>
            </w:r>
          </w:p>
          <w:p w:rsidR="00AB2812" w:rsidRDefault="00A50DA9">
            <w:pPr>
              <w:pStyle w:val="NoSpacing"/>
              <w:jc w:val="both"/>
            </w:pPr>
            <w:r>
              <w:t xml:space="preserve">Diferența creditelor bugetare de 63.000 mii lei este prevăzută la litera f) </w:t>
            </w:r>
            <w:r>
              <w:rPr>
                <w:i/>
              </w:rPr>
              <w:t>Programul privind reducerea emisiilor de gaze cu efect de seră în transporturi, prin promovarea vehiculelor de transport rutier nepoluante din punct de vedere energetic,2017-2019</w:t>
            </w:r>
            <w:r>
              <w:t xml:space="preserve">, din anexa nr. 2b  la proiectul de buget </w:t>
            </w:r>
            <w:r w:rsidRPr="00F8597A">
              <w:t>rectificat</w:t>
            </w:r>
            <w:r>
              <w:t>, ”Lista sumelor alocate categoriilor de proiecte prioritare finanțate din Fondul pentru mediu în anul 2018”.</w:t>
            </w:r>
          </w:p>
          <w:p w:rsidR="00AB2812" w:rsidRDefault="00A50DA9">
            <w:pPr>
              <w:pStyle w:val="NoSpacing"/>
              <w:jc w:val="both"/>
            </w:pPr>
            <w:r>
              <w:t xml:space="preserve">Diminuarea creditelor de angajament și bugetare aferente acestei categorii, conform fundamentării direcției de specialitate, este justificată astfel: ” Valorile creditelor de angajament și bugetare prevăzute la lit. w) din anexa 2a au fost diminuate, ele urmând a fi asigurate din sumele prevăzute la lit. f) din anexa 2b.” </w:t>
            </w:r>
          </w:p>
          <w:p w:rsidR="00AB2812" w:rsidRDefault="00AB2812">
            <w:pPr>
              <w:pStyle w:val="NoSpacing"/>
              <w:jc w:val="both"/>
            </w:pPr>
          </w:p>
          <w:p w:rsidR="00AB2812" w:rsidRDefault="00A50DA9">
            <w:pPr>
              <w:pStyle w:val="NoSpacing"/>
              <w:jc w:val="both"/>
            </w:pPr>
            <w:r>
              <w:rPr>
                <w:b/>
                <w:u w:val="single"/>
              </w:rPr>
              <w:t>B.</w:t>
            </w:r>
            <w:r>
              <w:t xml:space="preserve"> În ceea ce privește </w:t>
            </w:r>
            <w:r>
              <w:rPr>
                <w:b/>
                <w:i/>
              </w:rPr>
              <w:t>finanțarea categoriilor de proiecte prioritare</w:t>
            </w:r>
            <w:r>
              <w:t xml:space="preserve"> </w:t>
            </w:r>
            <w:r>
              <w:rPr>
                <w:b/>
                <w:i/>
              </w:rPr>
              <w:t>finanțate din Fondul pentru mediu în anul 2018</w:t>
            </w:r>
            <w:r>
              <w:t xml:space="preserve">, prevăzute în  anexa nr. 2b”Lista sumelor alocate categoriilor de proiecte prioritare finanțate din Fondul pentru mediu în anul 2018”, </w:t>
            </w:r>
            <w:r>
              <w:rPr>
                <w:b/>
                <w:i/>
              </w:rPr>
              <w:t>aceasta are la bază lista sumelor alocate categoriilor de proiecte prioritare pentru anul 2018, aprobată prin Ordinul ministrului mediului nr. 725/10.07.2018</w:t>
            </w:r>
            <w:r>
              <w:t xml:space="preserve">, atât pentru finanțarea unor programe în curs de implementare, cât și pentru lansarea unor noi programe de finanțare. </w:t>
            </w:r>
          </w:p>
          <w:p w:rsidR="00AB2812" w:rsidRDefault="00A50DA9">
            <w:pPr>
              <w:pStyle w:val="NoSpacing"/>
              <w:jc w:val="both"/>
            </w:pPr>
            <w:r>
              <w:t>În conformitate cu prevederile art. I, pct. 10 din O.U.G. nr. 37/2018, pentru modificarea și completarea Ordonanței de urgență a Guvernului nr. 115/2011, “</w:t>
            </w:r>
            <w:r>
              <w:rPr>
                <w:i/>
              </w:rPr>
              <w:t xml:space="preserve">[…] (1) Finanțarea proiectelor prevăzute la art. 10 alin. (1^1) și la art. 11 alin. (1^1) se realizează de către Administrația Fondului pentru Mediu în limita fondurilor aprobate cu această destinație în bugetul de venituri și cheltuieli al Fondului pentru mediu, evidențiate distinct în cadrul acestuia, conform listei categoriilor de proiecte prioritare, stabilită anual de autoritatea publică centrală pentru protecția mediului. (2) Lista prevazuta la alin. (1) se aprobă prin ordin al ministrului autorității publice centrale pentru protecția mediului și stă la baza fundamentării creditelor de angajament și </w:t>
            </w:r>
            <w:r>
              <w:rPr>
                <w:i/>
              </w:rPr>
              <w:lastRenderedPageBreak/>
              <w:t>creditelor bugetare aferente proiectelor prevazute la art. 10 alin. (1^1) si la art. 11 alin. (1^1), aprobate în bugetul de venituri și cheltuieli al Fondului pentru mediu. […]”.</w:t>
            </w:r>
          </w:p>
          <w:p w:rsidR="00AB2812" w:rsidRDefault="00A50DA9">
            <w:pPr>
              <w:pStyle w:val="NoSpacing"/>
              <w:jc w:val="both"/>
            </w:pPr>
            <w:r>
              <w:t xml:space="preserve">De asemenea, conform prevederilor art. II, pct. 2 și art. III, pct. 2 din O.U.G. nr.37/2018, pentru modificarea și completarea O.U.G. nr. 115/2011, ” </w:t>
            </w:r>
            <w:r>
              <w:rPr>
                <w:i/>
              </w:rPr>
              <w:t>din contravaloarea în lei a sumelor obținute în urma licitării certificatelor de emisii de gaze cu efect de seră, nealocate până la data intrării în vigoare a prezentei ordonanțe de urgență, în bugetul de venituri și cheltuieli al Fondului pentru mediu și Administrației Fondului pentru Mediu pentru anul 2018 se prevăd credite de angajament și credite bugetare pentru finanțarea proiectelor prevăzute la alin. (1)”,</w:t>
            </w:r>
            <w:r>
              <w:t xml:space="preserve"> respectiv  ”</w:t>
            </w:r>
            <w:r>
              <w:rPr>
                <w:i/>
              </w:rPr>
              <w:t>sumele prevăzute la art. 10 alin. (1) lit. b) și la art. 11 alin. (1) lit. b) din Ordonanța de urgență a Guvernului nr. 115/2011, aprobată prin Legea nr. 163/2012, […] se utilizează inclusiv pentru finanțarea programelor prevăzute la art. 13 alin. (1) lit. a), q) și w) din Ordonanța de urgență a Guvernului nr. 196/2005 privind Fondul pentru mediu, […] aflate în derulare la data intrării în vigoare a prezentei ordonanțe de urgență</w:t>
            </w:r>
            <w:r>
              <w:t>.”</w:t>
            </w:r>
          </w:p>
          <w:p w:rsidR="00AB2812" w:rsidRDefault="00A50DA9">
            <w:pPr>
              <w:pStyle w:val="NoSpacing"/>
              <w:jc w:val="both"/>
            </w:pPr>
            <w:r>
              <w:t>Astfel, ținând cont că fondurile rezultate în urma scoaterii la licitație a certificatelor de emisii de GES pot fi utilizate pentru reducerea emisiilor de gaze cu efect de seră, au fost identificate următoarele programe aflate în derulare, care corespund acestui domeniu de finanțare:</w:t>
            </w:r>
          </w:p>
          <w:p w:rsidR="00AB2812" w:rsidRDefault="00A50DA9">
            <w:pPr>
              <w:pStyle w:val="NoSpacing"/>
              <w:jc w:val="both"/>
            </w:pPr>
            <w:r>
              <w:t xml:space="preserve">1) </w:t>
            </w:r>
            <w:r>
              <w:rPr>
                <w:b/>
                <w:i/>
              </w:rPr>
              <w:t>litera  f) - Programul privind reducerea emisiilor de gaze cu efect de seră în transporturi, prin promovarea vehiculelor de transport rutier nepoluante şi eficiente din punct de vedere energetic, 2017-2019</w:t>
            </w:r>
            <w:r>
              <w:t>, prevăzută la lit. w) din anexa nr. 2a la bugetul rectificat, ”Lista sumelor alocate proiectelor și programelor pentru protecția mediului finanțate din Fondulpentru Mediu în anul 2018”</w:t>
            </w:r>
          </w:p>
          <w:p w:rsidR="00AB2812" w:rsidRDefault="00A50DA9">
            <w:pPr>
              <w:pStyle w:val="NoSpacing"/>
              <w:jc w:val="both"/>
            </w:pPr>
            <w:r>
              <w:t>-credite de angajament – 70.000 mii lei, valoare modificată față de programul inițial în sumă de o mii lei;</w:t>
            </w:r>
          </w:p>
          <w:p w:rsidR="00AB2812" w:rsidRDefault="00A50DA9">
            <w:pPr>
              <w:pStyle w:val="NoSpacing"/>
              <w:jc w:val="both"/>
            </w:pPr>
            <w:r>
              <w:t>-    credite bugetare – 33.000 mii lei, valoare modificată față de programul inițial în sumă de o mii lei;</w:t>
            </w:r>
          </w:p>
          <w:p w:rsidR="00AB2812" w:rsidRDefault="00A50DA9">
            <w:pPr>
              <w:pStyle w:val="NoSpacing"/>
              <w:jc w:val="both"/>
            </w:pPr>
            <w:r>
              <w:t xml:space="preserve">2) </w:t>
            </w:r>
            <w:r>
              <w:rPr>
                <w:b/>
                <w:i/>
              </w:rPr>
              <w:t>litera g) - Programul vizând transporturile tip RO-LA, pentru stimularea trecerii transportului de marfă dinspre transportul rutier către calea ferată, în scopul reducerii emisiilor de gaze cu efect de seră din sectorul transport</w:t>
            </w:r>
            <w:r>
              <w:t>, prevăzută la lit. a) din anexa nr. 2a la bugetul rectificat, ”Lista sumelor alocate proiectelor și programelor pentru protecția mediului finanțate din Fondulpentru Mediu în anul 2018”</w:t>
            </w:r>
          </w:p>
          <w:p w:rsidR="00AB2812" w:rsidRDefault="00A50DA9">
            <w:pPr>
              <w:pStyle w:val="NoSpacing"/>
              <w:jc w:val="both"/>
            </w:pPr>
            <w:r>
              <w:t>-   credite de angajament – 20.000 mii lei, valoare modificată față de programul inițial în sumă de o mii lei;</w:t>
            </w:r>
          </w:p>
          <w:p w:rsidR="00AB2812" w:rsidRDefault="00A50DA9">
            <w:pPr>
              <w:pStyle w:val="NoSpacing"/>
              <w:jc w:val="both"/>
            </w:pPr>
            <w:r>
              <w:t>-   credite bugetare – 20.000 mii lei, valoare modificată față de programul inițial în sumă de o mii lei.</w:t>
            </w:r>
          </w:p>
          <w:p w:rsidR="00AB2812" w:rsidRDefault="00AB2812">
            <w:pPr>
              <w:pStyle w:val="NoSpacing"/>
              <w:jc w:val="both"/>
            </w:pPr>
          </w:p>
          <w:p w:rsidR="00AB2812" w:rsidRDefault="00A50DA9">
            <w:pPr>
              <w:pStyle w:val="NoSpacing"/>
              <w:jc w:val="both"/>
            </w:pPr>
            <w:r>
              <w:t xml:space="preserve">Ținând cont că au fost inițiate demersurile necesare elaborării și dezvoltării programelor de finanțare prioritare cuprinse în anexa la Ordinul ministrului mediului nr. 725/10.07.2018, </w:t>
            </w:r>
            <w:r w:rsidRPr="002C2811">
              <w:rPr>
                <w:b/>
              </w:rPr>
              <w:t>sumele aferente susținerii financiare a  acestora au fost prevăzute în anexa nr. 2b</w:t>
            </w:r>
            <w:r>
              <w:t xml:space="preserve"> la </w:t>
            </w:r>
            <w:r w:rsidRPr="002C2811">
              <w:rPr>
                <w:b/>
              </w:rPr>
              <w:t>bugetul rectificat</w:t>
            </w:r>
            <w:r>
              <w:t xml:space="preserve">, </w:t>
            </w:r>
            <w:r w:rsidRPr="002C2811">
              <w:rPr>
                <w:b/>
              </w:rPr>
              <w:t>”Lista sumelor alocate categoriilor de proiecte prioritare finanțate din Fondul pentru mediu în anul 2018”,</w:t>
            </w:r>
            <w:r>
              <w:t xml:space="preserve"> în vederea lansării sesiunilor de finanțare (credite de angajament) și efectuării plăților (credite bugetare) în cadrul contractelor de finanțare care urmează a fi încheiate. </w:t>
            </w:r>
          </w:p>
          <w:p w:rsidR="00AB2812" w:rsidRDefault="00A50DA9">
            <w:pPr>
              <w:pStyle w:val="NoSpacing"/>
              <w:jc w:val="both"/>
            </w:pPr>
            <w:r>
              <w:t xml:space="preserve">Prin urmare, restul categoriilor de proiecte prioritare finanțate din </w:t>
            </w:r>
            <w:r>
              <w:lastRenderedPageBreak/>
              <w:t>Fondul pentru mediu sunt detaliate, conform anexei nr.2b ”Lista sumelor alocate categoriilor de proiecte prioritare finanțate din Fondul pentru mediu în anul 2018”, astfel:</w:t>
            </w:r>
          </w:p>
          <w:p w:rsidR="00AB2812" w:rsidRDefault="00A50DA9">
            <w:pPr>
              <w:pStyle w:val="NoSpacing"/>
              <w:jc w:val="both"/>
            </w:pPr>
            <w:r>
              <w:t>1) litera a) - Programul privind îmbunătățirea calității aerului și reducerea emisiilor de gaze cu efect de seră, utilizând autovehicule mai puțin poluante în transportul public local de persoane – autobuze și troleibuze electrice/GNC</w:t>
            </w:r>
          </w:p>
          <w:p w:rsidR="00AB2812" w:rsidRDefault="00A50DA9">
            <w:pPr>
              <w:pStyle w:val="NoSpacing"/>
              <w:jc w:val="both"/>
            </w:pPr>
            <w:r>
              <w:t>-credite de angajament – 460.000 mii lei, valoare modificată față de programul inițial în sumă de o mii lei;</w:t>
            </w:r>
          </w:p>
          <w:p w:rsidR="00AB2812" w:rsidRDefault="00A50DA9">
            <w:pPr>
              <w:pStyle w:val="NoSpacing"/>
              <w:jc w:val="both"/>
            </w:pPr>
            <w:r>
              <w:t>-credite bugetare – 460.000 mii lei, valoare modificată față de programul ințial în sumă de o mii lei;</w:t>
            </w:r>
          </w:p>
          <w:p w:rsidR="00AB2812" w:rsidRDefault="00A50DA9">
            <w:pPr>
              <w:pStyle w:val="NoSpacing"/>
              <w:jc w:val="both"/>
            </w:pPr>
            <w:r>
              <w:t>2)litera b) - Programul privind reducerea emisiilor de gaze cu efect de seră în transporturi, prin promovarea infrastructurii pentru vehiculele de transport rutier nepoluant din punct de vedere energetic: staţii de reîncărcare pentru vehicule electrice în municipiile reședințe de județ;</w:t>
            </w:r>
          </w:p>
          <w:p w:rsidR="00AB2812" w:rsidRDefault="00A50DA9">
            <w:pPr>
              <w:pStyle w:val="NoSpacing"/>
              <w:jc w:val="both"/>
            </w:pPr>
            <w:r>
              <w:t>-credite de angajament – 92.000 mii lei, valoare modificată față de programul inițial în sumă de o mii lei;</w:t>
            </w:r>
          </w:p>
          <w:p w:rsidR="00AB2812" w:rsidRDefault="00A50DA9">
            <w:pPr>
              <w:pStyle w:val="NoSpacing"/>
              <w:jc w:val="both"/>
            </w:pPr>
            <w:r>
              <w:t>-credite bugetare – 40.000 mii le, valoare modificată față de programul inițial în sumă de o mii lei;</w:t>
            </w:r>
          </w:p>
          <w:p w:rsidR="00AB2812" w:rsidRDefault="00A50DA9">
            <w:pPr>
              <w:pStyle w:val="NoSpacing"/>
              <w:jc w:val="both"/>
            </w:pPr>
            <w:r>
              <w:t>3) litera c) - Programul privind dezvoltarea infrastructurii de reîncărcare pentru vehicule electrice și electrice hibrid plug-in la nivelul autostrăzilor, drumurilor europene și drumurilor naționale</w:t>
            </w:r>
          </w:p>
          <w:p w:rsidR="00AB2812" w:rsidRDefault="00A50DA9">
            <w:pPr>
              <w:pStyle w:val="NoSpacing"/>
              <w:jc w:val="both"/>
            </w:pPr>
            <w:r>
              <w:t>-credite de angajament – 92.000 mii lei, valoare modificată față de programul inițial în sumă de o mii lei;</w:t>
            </w:r>
          </w:p>
          <w:p w:rsidR="00AB2812" w:rsidRDefault="00A50DA9">
            <w:pPr>
              <w:pStyle w:val="NoSpacing"/>
              <w:jc w:val="both"/>
            </w:pPr>
            <w:r>
              <w:t>-credite bugetare – 0 mii lei, valoare modificată față de programul inițial în sumă de o mii lei;</w:t>
            </w:r>
          </w:p>
          <w:p w:rsidR="00AB2812" w:rsidRDefault="00A50DA9">
            <w:pPr>
              <w:pStyle w:val="NoSpacing"/>
              <w:jc w:val="both"/>
            </w:pPr>
            <w:r>
              <w:t>4) litera d) - Programul privind instalarea de sisteme solare fotovoltaice pentru producerea de energie electrică în vederea acoperirii necesarului de consum și livrării surplusului în rețeaua națională la gospodăriile individuale din regiunile care nu beneficiază de finanțare în cadrul POR (București-Ilfov)</w:t>
            </w:r>
          </w:p>
          <w:p w:rsidR="00AB2812" w:rsidRDefault="00A50DA9">
            <w:pPr>
              <w:pStyle w:val="NoSpacing"/>
              <w:jc w:val="both"/>
            </w:pPr>
            <w:r>
              <w:t>-credite de angajament – 32.500 lei, valoare modificată față de programul inițial în sumă de o mii lei;</w:t>
            </w:r>
          </w:p>
          <w:p w:rsidR="00AB2812" w:rsidRDefault="00A50DA9">
            <w:pPr>
              <w:pStyle w:val="NoSpacing"/>
              <w:jc w:val="both"/>
            </w:pPr>
            <w:r>
              <w:t>-credite bugetare – 20.000 mii lei, valoare modificată față de programul inițial în sumă de o mii lei;</w:t>
            </w:r>
          </w:p>
          <w:p w:rsidR="00AB2812" w:rsidRDefault="00A50DA9">
            <w:pPr>
              <w:pStyle w:val="NoSpacing"/>
              <w:jc w:val="both"/>
            </w:pPr>
            <w:r>
              <w:t>5) litera e) - Programul privind instalarea de  sisteme solare fotovoltaice pentru gospodăriile izolate neracordate la rețeaua de distribuție a energiei electrice</w:t>
            </w:r>
          </w:p>
          <w:p w:rsidR="00AB2812" w:rsidRDefault="00A50DA9">
            <w:pPr>
              <w:pStyle w:val="NoSpacing"/>
              <w:jc w:val="both"/>
            </w:pPr>
            <w:r>
              <w:t>-credite de angajament – 230.000 mii lei, valoare modificată față de programul initial, în sumă de o mii lei;</w:t>
            </w:r>
          </w:p>
          <w:p w:rsidR="00AB2812" w:rsidRDefault="00A50DA9">
            <w:pPr>
              <w:pStyle w:val="NoSpacing"/>
              <w:jc w:val="both"/>
            </w:pPr>
            <w:r>
              <w:t>-credite bugetare – 100.000 mii lei, valoare modificată față de programul inițial în sumă de o mii lei;</w:t>
            </w:r>
          </w:p>
          <w:p w:rsidR="00AB2812" w:rsidRDefault="00A50DA9">
            <w:pPr>
              <w:pStyle w:val="NoSpacing"/>
              <w:jc w:val="both"/>
            </w:pPr>
            <w:r>
              <w:t>6) litera h) - Programul privind finanțarea Centrului de Excelență NATO pentru protecția mediului, prin construirea unei clădiri verzi al cărei consum de energie este aproape egal cu zero, exemplu de bune practici în reducerea emisiilor de gaze cu efect de seră în sectorul rezidențial</w:t>
            </w:r>
          </w:p>
          <w:p w:rsidR="00AB2812" w:rsidRDefault="00A50DA9">
            <w:pPr>
              <w:pStyle w:val="NoSpacing"/>
              <w:jc w:val="both"/>
            </w:pPr>
            <w:r>
              <w:t>-credite de angajament – 6.000 mii lei, valoare modificată față de programul inițial în sumă de o mii lei;</w:t>
            </w:r>
          </w:p>
          <w:p w:rsidR="00AB2812" w:rsidRDefault="00A50DA9">
            <w:pPr>
              <w:pStyle w:val="NoSpacing"/>
              <w:jc w:val="both"/>
            </w:pPr>
            <w:r>
              <w:t>-credite bugetare – 6.000 mii lei, valoare modificată față de programul inițial în sumă de o mii lei.</w:t>
            </w:r>
          </w:p>
          <w:p w:rsidR="00AB2812" w:rsidRDefault="00AB2812">
            <w:pPr>
              <w:pStyle w:val="NoSpacing"/>
              <w:jc w:val="both"/>
            </w:pPr>
          </w:p>
          <w:p w:rsidR="00AB2812" w:rsidRDefault="00A50DA9">
            <w:pPr>
              <w:pStyle w:val="NoSpacing"/>
              <w:jc w:val="both"/>
            </w:pPr>
            <w:r>
              <w:rPr>
                <w:b/>
                <w:u w:val="single"/>
              </w:rPr>
              <w:t>C</w:t>
            </w:r>
            <w:r>
              <w:t xml:space="preserve">. Anexa nr. 2 la bugetul rectificat,” Lista sumelor alocate proiectelor și programelor pentru protecția mediului și a categoriilor de proiecte </w:t>
            </w:r>
            <w:r>
              <w:lastRenderedPageBreak/>
              <w:t>prioritare finanțate din Fondul pentru mediu în anul 2018”, totalizează creditele de angajament și bugetare aferente anexei nr. 2a la bugetul rectificat,” Lista sumelor alocate proiectelor și programelor pentru protecția mediului finanțate din Fondul pentru mediu -rectificată” și creditele de angajament și bugetare aferente anexei nr. 2b la bugetul rectificat, ”Lista sumelor alocate categoriilor de proiecte prioritare finanțate din Fondul pentru mediu în anul 2018”:</w:t>
            </w:r>
          </w:p>
          <w:p w:rsidR="00AB2812" w:rsidRDefault="00A50DA9">
            <w:pPr>
              <w:pStyle w:val="NoSpacing"/>
              <w:jc w:val="both"/>
            </w:pPr>
            <w:r>
              <w:t>- credite de angajament  - 1.448.126 mii lei, valoare modificată față de programul inițial, în sumă de 392.852 mii lei;</w:t>
            </w:r>
          </w:p>
          <w:p w:rsidR="00AB2812" w:rsidRDefault="00A50DA9">
            <w:pPr>
              <w:pStyle w:val="NoSpacing"/>
              <w:jc w:val="both"/>
            </w:pPr>
            <w:r>
              <w:t>- credite bugetare – 1.198.852 mii lei, valoare modificată față de programul inițial, în sumă de 519.852 mii lei.</w:t>
            </w:r>
          </w:p>
          <w:p w:rsidR="00AB2812" w:rsidRDefault="00A50DA9">
            <w:pPr>
              <w:pStyle w:val="NoSpacing"/>
              <w:jc w:val="both"/>
            </w:pPr>
            <w:r>
              <w:tab/>
              <w:t>Deficitul bugetului de venituri şi cheltuieli al Fondului pentru mediu  pentru anul 2018, estimat în sumă 154.109 mii lei, va fi suportat din disponibilul din anii precedenţi aferent bugetului Fondului pentru mediu, înregistrat la 31.12.2017,  în sumă de 2.726.557 mii lei, aferent sursei I</w:t>
            </w:r>
            <w:r w:rsidRPr="006F1D9E">
              <w:t>,”</w:t>
            </w:r>
            <w:r w:rsidRPr="006F1D9E">
              <w:rPr>
                <w:i/>
              </w:rPr>
              <w:t>Bugetul Fondului pentru mediu</w:t>
            </w:r>
            <w:r w:rsidRPr="006F1D9E">
              <w:t>”,</w:t>
            </w:r>
            <w:r>
              <w:t xml:space="preserve"> conform extras cont.</w:t>
            </w:r>
          </w:p>
          <w:p w:rsidR="00AB2812" w:rsidRDefault="00A50DA9">
            <w:pPr>
              <w:pStyle w:val="NoSpacing"/>
              <w:jc w:val="both"/>
            </w:pPr>
            <w:r>
              <w:rPr>
                <w:b/>
              </w:rPr>
              <w:t>Suma destinată restituirii sumelor</w:t>
            </w:r>
            <w:r>
              <w:t xml:space="preserve"> reprezentând taxa specială pentru autoturisme şi autovehicule, taxa pe poluare pentru autovehicule, taxa pentru emisiile poluante provenite de la autovehicule şi timbrul de mediu pentru autovehicule în temeiul O.U.G. nr. 52/2017 privind restituirea sumelor reprezentând taxa specială pentru autoturisme şi autovehicule, taxa pe poluare pentru autovehicule, taxa pentru emisiile poluante provenite de la autovehicule şi timbrul de mediu pentru autovehicule, cu completările ulterioare, precum şi al Ordinului viceprim-ministrului, ministrul mediului, şi al ministrului finanţelor publice nr. 1.488/3.198/2017 de aprobare a Normelor metodologice de aplicare a Ordonanţei de urgenţă nr. 52/2017 privind restituirea sumelor reprezentând taxa specială pentru autoturisme şi autovehicule, taxa pe poluare pentru autovehicule, taxa pentru emisiile poluante provenite de la autovehicule şi timbrul de mediu pentru autovehicule, cu modificările și completările ulterioare </w:t>
            </w:r>
            <w:r>
              <w:rPr>
                <w:b/>
              </w:rPr>
              <w:t>este estimată,</w:t>
            </w:r>
            <w:r>
              <w:t xml:space="preserve"> conform fundamentării direcției de specialitate, </w:t>
            </w:r>
            <w:r>
              <w:rPr>
                <w:b/>
              </w:rPr>
              <w:t>la valoarea de 2.572.448 mii lei și va fi suportată din disponibilul din anii precedenţi</w:t>
            </w:r>
            <w:r>
              <w:t xml:space="preserve">, aferent bugetului Fondului pentru mediu înregistrat la 31.12.2017,  în sumă de 2.726.557 mii lei, aferent sursei I, </w:t>
            </w:r>
            <w:r w:rsidRPr="006F1D9E">
              <w:t>”</w:t>
            </w:r>
            <w:r w:rsidRPr="006F1D9E">
              <w:rPr>
                <w:i/>
              </w:rPr>
              <w:t>Bugetul Fondului pentru mediu</w:t>
            </w:r>
            <w:r>
              <w:t xml:space="preserve">”,conform extras cont, din care se reține suma de 154.109 mii lei necesar acoperirii deficitului bugetului de venituri şi cheltuieli al Fondului pentru mediu pentru anul 2018, conform anexa nr. 2a” ”Lista sumelor alocate proiectelor și programelor pentru protecția mediului finanțate din Fondul pentru mediu </w:t>
            </w:r>
            <w:r w:rsidRPr="006F1D9E">
              <w:t>în anul 2018</w:t>
            </w:r>
            <w:r>
              <w:t>-rectificată”.</w:t>
            </w:r>
          </w:p>
          <w:p w:rsidR="00AB2812" w:rsidRDefault="00A50DA9">
            <w:pPr>
              <w:pStyle w:val="NoSpacing"/>
              <w:jc w:val="both"/>
            </w:pPr>
            <w:r>
              <w:t xml:space="preserve">Prin urmare, se suplimentează suma din execedentul din anii precedenți, de la valoarea de 845.891 mii lei, aprobată prin H.G. nr. 56/2018, la valoarea </w:t>
            </w:r>
            <w:r>
              <w:rPr>
                <w:b/>
              </w:rPr>
              <w:t>de 2.572.448 mii lei</w:t>
            </w:r>
            <w:r>
              <w:t>, în scopul acoperirii deficitului determinat de restituirea sumelor reprezentând taxa specială pentru autoturisme şi autovehicule, taxa pe poluare pentru autovehicule, taxa pentru emisiile poluante provenite de la autovehicule şi timbrul de mediu pentru autovehicule.</w:t>
            </w:r>
          </w:p>
          <w:p w:rsidR="00AB2812" w:rsidRDefault="00A50DA9">
            <w:pPr>
              <w:pStyle w:val="NoSpacing"/>
              <w:jc w:val="both"/>
            </w:pPr>
            <w:r>
              <w:t>Diferența de 183.829 mii lei, până la valoarea de</w:t>
            </w:r>
            <w:r>
              <w:rPr>
                <w:b/>
              </w:rPr>
              <w:t xml:space="preserve"> 2.910.393 mii lei din excedentul bugetului de venituri și cheltuieli  Fondului pentru mediu și al Administrației Fondului pentru Mediu, </w:t>
            </w:r>
            <w:r>
              <w:t>înregistrat la 31.12.2017, reprezintă disponibilul din anii precedenţi aferent bugetului Fondului Administrației Fondului pentru Mediu, sursa F</w:t>
            </w:r>
            <w:r w:rsidRPr="00F3674C">
              <w:t>,”</w:t>
            </w:r>
            <w:r w:rsidRPr="00F3674C">
              <w:rPr>
                <w:i/>
              </w:rPr>
              <w:t>Integral venituri proprii”</w:t>
            </w:r>
            <w:r w:rsidRPr="00F3674C">
              <w:t>, respectiv 7 mii lei sursa D,”</w:t>
            </w:r>
            <w:r w:rsidRPr="00F3674C">
              <w:rPr>
                <w:i/>
              </w:rPr>
              <w:t xml:space="preserve">Fonduri extene </w:t>
            </w:r>
            <w:r w:rsidRPr="00F3674C">
              <w:rPr>
                <w:i/>
              </w:rPr>
              <w:lastRenderedPageBreak/>
              <w:t>nerambursabile”,</w:t>
            </w:r>
            <w:r>
              <w:t xml:space="preserve"> conform extrase cont.</w:t>
            </w:r>
          </w:p>
        </w:tc>
      </w:tr>
      <w:tr w:rsidR="00AB2812">
        <w:tc>
          <w:tcPr>
            <w:tcW w:w="2566" w:type="dxa"/>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3. Alte informaţii</w:t>
            </w:r>
          </w:p>
        </w:tc>
        <w:tc>
          <w:tcPr>
            <w:tcW w:w="7215"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tc>
      </w:tr>
      <w:tr w:rsidR="00AB2812">
        <w:tc>
          <w:tcPr>
            <w:tcW w:w="9781" w:type="dxa"/>
            <w:gridSpan w:val="3"/>
          </w:tcPr>
          <w:p w:rsidR="00AB2812" w:rsidRDefault="00A50DA9">
            <w:pPr>
              <w:spacing w:after="0"/>
              <w:jc w:val="center"/>
              <w:rPr>
                <w:rFonts w:ascii="Times New Roman" w:hAnsi="Times New Roman"/>
                <w:b/>
                <w:sz w:val="24"/>
                <w:szCs w:val="24"/>
              </w:rPr>
            </w:pPr>
            <w:r>
              <w:rPr>
                <w:rFonts w:ascii="Times New Roman" w:hAnsi="Times New Roman"/>
                <w:b/>
                <w:sz w:val="24"/>
                <w:szCs w:val="24"/>
              </w:rPr>
              <w:t>Secţiunea a 3-a: Impactul socio-economic al proiectului de act normativ</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1. Impactul macroeconomic</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1</w:t>
            </w:r>
            <w:r>
              <w:rPr>
                <w:rFonts w:ascii="Times New Roman" w:hAnsi="Times New Roman"/>
                <w:iCs/>
                <w:sz w:val="24"/>
                <w:szCs w:val="24"/>
                <w:vertAlign w:val="superscript"/>
              </w:rPr>
              <w:t>1</w:t>
            </w:r>
            <w:r>
              <w:rPr>
                <w:rFonts w:ascii="Times New Roman" w:hAnsi="Times New Roman"/>
                <w:iCs/>
                <w:sz w:val="24"/>
                <w:szCs w:val="24"/>
              </w:rPr>
              <w:t>. Impactul asupra mediului                                             concurenţial şi domeniului                                 ajutoarelor de stat</w:t>
            </w:r>
            <w:r>
              <w:rPr>
                <w:rFonts w:ascii="Times New Roman" w:hAnsi="Times New Roman"/>
                <w:i/>
                <w:iCs/>
                <w:sz w:val="24"/>
                <w:szCs w:val="24"/>
              </w:rPr>
              <w:t xml:space="preserve">        </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2. Impactul asupra mediului de afaceri</w:t>
            </w:r>
          </w:p>
        </w:tc>
        <w:tc>
          <w:tcPr>
            <w:tcW w:w="5822" w:type="dxa"/>
            <w:shd w:val="clear" w:color="auto" w:fill="FFFFFF"/>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vertAlign w:val="superscript"/>
              </w:rPr>
            </w:pPr>
            <w:r>
              <w:rPr>
                <w:rFonts w:ascii="Times New Roman" w:hAnsi="Times New Roman"/>
                <w:sz w:val="24"/>
                <w:szCs w:val="24"/>
              </w:rPr>
              <w:t>2</w:t>
            </w:r>
            <w:r>
              <w:rPr>
                <w:rFonts w:ascii="Times New Roman" w:hAnsi="Times New Roman"/>
                <w:sz w:val="24"/>
                <w:szCs w:val="24"/>
                <w:vertAlign w:val="superscript"/>
              </w:rPr>
              <w:t xml:space="preserve">1  </w:t>
            </w:r>
          </w:p>
          <w:p w:rsidR="00AB2812" w:rsidRDefault="00A50DA9">
            <w:pPr>
              <w:spacing w:after="0"/>
              <w:jc w:val="both"/>
              <w:rPr>
                <w:rFonts w:ascii="Times New Roman" w:hAnsi="Times New Roman"/>
                <w:sz w:val="24"/>
                <w:szCs w:val="24"/>
              </w:rPr>
            </w:pPr>
            <w:r>
              <w:rPr>
                <w:rFonts w:ascii="Times New Roman" w:hAnsi="Times New Roman"/>
                <w:sz w:val="24"/>
                <w:szCs w:val="24"/>
              </w:rPr>
              <w:t xml:space="preserve">Impactul asupra sarcinilor administrative </w:t>
            </w:r>
          </w:p>
        </w:tc>
        <w:tc>
          <w:tcPr>
            <w:tcW w:w="5822" w:type="dxa"/>
            <w:shd w:val="clear" w:color="auto" w:fill="FFFFFF"/>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vertAlign w:val="superscript"/>
              </w:rPr>
            </w:pPr>
            <w:r>
              <w:rPr>
                <w:rFonts w:ascii="Times New Roman" w:hAnsi="Times New Roman"/>
                <w:sz w:val="24"/>
                <w:szCs w:val="24"/>
              </w:rPr>
              <w:t>2</w:t>
            </w:r>
            <w:r>
              <w:rPr>
                <w:rFonts w:ascii="Times New Roman" w:hAnsi="Times New Roman"/>
                <w:sz w:val="24"/>
                <w:szCs w:val="24"/>
                <w:vertAlign w:val="superscript"/>
              </w:rPr>
              <w:t xml:space="preserve">2 </w:t>
            </w:r>
          </w:p>
          <w:p w:rsidR="00AB2812" w:rsidRDefault="00A50DA9">
            <w:pPr>
              <w:spacing w:after="0"/>
              <w:jc w:val="both"/>
              <w:rPr>
                <w:rFonts w:ascii="Times New Roman" w:hAnsi="Times New Roman"/>
                <w:sz w:val="24"/>
                <w:szCs w:val="24"/>
              </w:rPr>
            </w:pPr>
            <w:r>
              <w:rPr>
                <w:rFonts w:ascii="Times New Roman" w:hAnsi="Times New Roman"/>
                <w:sz w:val="24"/>
                <w:szCs w:val="24"/>
              </w:rPr>
              <w:t xml:space="preserve">Impactul asupra întreprinderilor mici și mijlocii </w:t>
            </w:r>
          </w:p>
        </w:tc>
        <w:tc>
          <w:tcPr>
            <w:tcW w:w="5822" w:type="dxa"/>
            <w:shd w:val="clear" w:color="auto" w:fill="FFFFFF"/>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rPr>
          <w:trHeight w:val="263"/>
        </w:trPr>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3. Impactul social</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4. Impactul asupra mediului</w:t>
            </w:r>
          </w:p>
        </w:tc>
        <w:tc>
          <w:tcPr>
            <w:tcW w:w="5822" w:type="dxa"/>
          </w:tcPr>
          <w:p w:rsidR="00AB2812" w:rsidRDefault="00A50DA9">
            <w:pPr>
              <w:pStyle w:val="ListParagraph"/>
              <w:spacing w:after="0"/>
              <w:ind w:left="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5.Alte informaţii</w:t>
            </w:r>
          </w:p>
        </w:tc>
        <w:tc>
          <w:tcPr>
            <w:tcW w:w="5822" w:type="dxa"/>
          </w:tcPr>
          <w:p w:rsidR="00AB2812" w:rsidRDefault="00AB2812">
            <w:pPr>
              <w:spacing w:after="0"/>
              <w:jc w:val="both"/>
              <w:rPr>
                <w:rFonts w:ascii="Times New Roman" w:hAnsi="Times New Roman"/>
                <w:sz w:val="24"/>
                <w:szCs w:val="24"/>
              </w:rPr>
            </w:pPr>
          </w:p>
        </w:tc>
      </w:tr>
      <w:tr w:rsidR="00AB2812">
        <w:trPr>
          <w:trHeight w:val="575"/>
        </w:trPr>
        <w:tc>
          <w:tcPr>
            <w:tcW w:w="9781" w:type="dxa"/>
            <w:gridSpan w:val="3"/>
          </w:tcPr>
          <w:p w:rsidR="00AB2812" w:rsidRDefault="00A50DA9">
            <w:pPr>
              <w:spacing w:after="0"/>
              <w:jc w:val="center"/>
              <w:rPr>
                <w:rFonts w:ascii="Times New Roman" w:hAnsi="Times New Roman"/>
                <w:b/>
                <w:sz w:val="24"/>
                <w:szCs w:val="24"/>
              </w:rPr>
            </w:pPr>
            <w:r>
              <w:rPr>
                <w:rFonts w:ascii="Times New Roman" w:hAnsi="Times New Roman"/>
                <w:b/>
                <w:sz w:val="24"/>
                <w:szCs w:val="24"/>
              </w:rPr>
              <w:t xml:space="preserve">Secţiunea a 4-a: </w:t>
            </w:r>
          </w:p>
          <w:p w:rsidR="00AB2812" w:rsidRDefault="00A50DA9">
            <w:pPr>
              <w:spacing w:after="0"/>
              <w:jc w:val="center"/>
              <w:rPr>
                <w:rFonts w:ascii="Times New Roman" w:hAnsi="Times New Roman"/>
                <w:b/>
                <w:sz w:val="24"/>
                <w:szCs w:val="24"/>
              </w:rPr>
            </w:pPr>
            <w:r>
              <w:rPr>
                <w:rFonts w:ascii="Times New Roman" w:hAnsi="Times New Roman"/>
                <w:b/>
                <w:sz w:val="24"/>
                <w:szCs w:val="24"/>
              </w:rPr>
              <w:t>Impactul financiar asupra bugetului general consolidat, atât pe termen scurt, pentru anul curent, cât şi pe termen lung (pe 5 ani)</w:t>
            </w:r>
          </w:p>
        </w:tc>
      </w:tr>
      <w:tr w:rsidR="00AB2812">
        <w:tc>
          <w:tcPr>
            <w:tcW w:w="3959" w:type="dxa"/>
            <w:gridSpan w:val="2"/>
            <w:tcBorders>
              <w:top w:val="single" w:sz="4" w:space="0" w:color="auto"/>
              <w:left w:val="single" w:sz="4" w:space="0" w:color="auto"/>
              <w:bottom w:val="single" w:sz="4" w:space="0" w:color="auto"/>
              <w:right w:val="single" w:sz="4" w:space="0" w:color="auto"/>
            </w:tcBorders>
          </w:tcPr>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1. Modificări ale veniturilor bugetare, plus/minus,  din care: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a) buget de stat, din acesta: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 impozit pe profit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(ii) impozit pe venit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b) bugete locale: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 impozit pe profit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c) bugetul asigurărilor sociale de stat: </w:t>
            </w:r>
          </w:p>
          <w:p w:rsidR="00AB2812" w:rsidRDefault="00A50DA9">
            <w:pPr>
              <w:spacing w:after="0"/>
              <w:jc w:val="both"/>
              <w:rPr>
                <w:rFonts w:ascii="Times New Roman" w:hAnsi="Times New Roman"/>
                <w:sz w:val="24"/>
                <w:szCs w:val="24"/>
              </w:rPr>
            </w:pPr>
            <w:r>
              <w:rPr>
                <w:rFonts w:ascii="Times New Roman" w:hAnsi="Times New Roman"/>
                <w:sz w:val="24"/>
                <w:szCs w:val="24"/>
              </w:rPr>
              <w:t xml:space="preserve">  (i) contribuţii de asigurări </w:t>
            </w:r>
          </w:p>
        </w:tc>
        <w:tc>
          <w:tcPr>
            <w:tcW w:w="5822" w:type="dxa"/>
            <w:tcBorders>
              <w:left w:val="single" w:sz="4" w:space="0" w:color="auto"/>
              <w:bottom w:val="single" w:sz="4" w:space="0" w:color="auto"/>
            </w:tcBorders>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2. Modificări ale cheltuielilor bugetare,plus/minus, din care:</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 buget de stat, din acesta: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 cheltuieli de personal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(ii) bunuri şi servicii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b) bugete locale: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 cheltuieli de personal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(ii) bunuri şi servicii                         c) bugetul asigurărilor sociale: </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(i) cheltuieli de personal                    </w:t>
            </w:r>
          </w:p>
          <w:p w:rsidR="00AB2812" w:rsidRDefault="00A50DA9">
            <w:pPr>
              <w:spacing w:after="0"/>
              <w:jc w:val="both"/>
              <w:rPr>
                <w:rFonts w:ascii="Times New Roman" w:hAnsi="Times New Roman"/>
                <w:sz w:val="24"/>
                <w:szCs w:val="24"/>
              </w:rPr>
            </w:pPr>
            <w:r>
              <w:rPr>
                <w:rFonts w:ascii="Times New Roman" w:hAnsi="Times New Roman"/>
                <w:sz w:val="24"/>
                <w:szCs w:val="24"/>
              </w:rPr>
              <w:t xml:space="preserve">    (ii) bunuri şi servicii           </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3. Impact financiar, plus/minus, din care:</w:t>
            </w:r>
          </w:p>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 buget de stat                         </w:t>
            </w:r>
          </w:p>
          <w:p w:rsidR="00AB2812" w:rsidRDefault="00A50DA9">
            <w:pPr>
              <w:spacing w:after="0"/>
              <w:jc w:val="both"/>
              <w:rPr>
                <w:rFonts w:ascii="Times New Roman" w:hAnsi="Times New Roman"/>
                <w:sz w:val="24"/>
                <w:szCs w:val="24"/>
              </w:rPr>
            </w:pPr>
            <w:r>
              <w:rPr>
                <w:rFonts w:ascii="Times New Roman" w:hAnsi="Times New Roman"/>
                <w:sz w:val="24"/>
                <w:szCs w:val="24"/>
              </w:rPr>
              <w:t>b) bugete locale</w:t>
            </w:r>
          </w:p>
        </w:tc>
        <w:tc>
          <w:tcPr>
            <w:tcW w:w="5822" w:type="dxa"/>
          </w:tcPr>
          <w:p w:rsidR="00AB2812" w:rsidRDefault="00A50DA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Proiectul de act normativ nu are impact asupra bugetului de stat sau bugetului local. </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 xml:space="preserve">4. Propuneri pentru acoperirea </w:t>
            </w:r>
            <w:r>
              <w:rPr>
                <w:rFonts w:ascii="Times New Roman" w:hAnsi="Times New Roman"/>
                <w:sz w:val="24"/>
                <w:szCs w:val="24"/>
              </w:rPr>
              <w:lastRenderedPageBreak/>
              <w:t>creşterii cheltuielilor bugetare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Proiectul de act normativ nu se referă la acest subiect.</w:t>
            </w: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5. Propuneri pentru a compensa reducerea veniturilor bugetare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6. Calcule detaliate privind fundamentarea modificărilor veniturilor şi/sau a cheltuielilor bugetare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rPr>
            </w:pPr>
          </w:p>
          <w:p w:rsidR="00AB2812" w:rsidRDefault="00AB2812">
            <w:pPr>
              <w:spacing w:after="0"/>
              <w:jc w:val="both"/>
              <w:rPr>
                <w:rFonts w:ascii="Times New Roman" w:hAnsi="Times New Roman"/>
                <w:sz w:val="24"/>
                <w:szCs w:val="24"/>
              </w:rPr>
            </w:pP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7. Alte informaţii</w:t>
            </w:r>
          </w:p>
          <w:p w:rsidR="00AB2812" w:rsidRDefault="00AB2812">
            <w:pPr>
              <w:spacing w:after="0"/>
              <w:jc w:val="both"/>
              <w:rPr>
                <w:rFonts w:ascii="Times New Roman" w:hAnsi="Times New Roman"/>
                <w:sz w:val="24"/>
                <w:szCs w:val="24"/>
              </w:rPr>
            </w:pP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tc>
      </w:tr>
      <w:tr w:rsidR="00AB2812">
        <w:tc>
          <w:tcPr>
            <w:tcW w:w="9781" w:type="dxa"/>
            <w:gridSpan w:val="3"/>
          </w:tcPr>
          <w:p w:rsidR="00AB2812" w:rsidRDefault="00A50DA9">
            <w:pPr>
              <w:spacing w:after="0"/>
              <w:jc w:val="center"/>
              <w:rPr>
                <w:rFonts w:ascii="Times New Roman" w:hAnsi="Times New Roman"/>
                <w:b/>
                <w:sz w:val="24"/>
                <w:szCs w:val="24"/>
              </w:rPr>
            </w:pPr>
            <w:r>
              <w:rPr>
                <w:rFonts w:ascii="Times New Roman" w:hAnsi="Times New Roman"/>
                <w:b/>
                <w:sz w:val="24"/>
                <w:szCs w:val="24"/>
              </w:rPr>
              <w:t>Secţiunea a 5-a:</w:t>
            </w:r>
          </w:p>
          <w:p w:rsidR="00AB2812" w:rsidRDefault="00A50DA9">
            <w:pPr>
              <w:spacing w:after="0"/>
              <w:jc w:val="center"/>
              <w:rPr>
                <w:rFonts w:ascii="Times New Roman" w:hAnsi="Times New Roman"/>
                <w:b/>
                <w:sz w:val="24"/>
                <w:szCs w:val="24"/>
              </w:rPr>
            </w:pPr>
            <w:r>
              <w:rPr>
                <w:rFonts w:ascii="Times New Roman" w:hAnsi="Times New Roman"/>
                <w:b/>
                <w:sz w:val="24"/>
                <w:szCs w:val="24"/>
              </w:rPr>
              <w:t>Efectele proiectului de act normativ asupra legislaţiei în vigoare</w:t>
            </w:r>
          </w:p>
        </w:tc>
      </w:tr>
      <w:tr w:rsidR="00AB2812">
        <w:tc>
          <w:tcPr>
            <w:tcW w:w="3959" w:type="dxa"/>
            <w:gridSpan w:val="2"/>
          </w:tcPr>
          <w:p w:rsidR="00AB2812" w:rsidRDefault="00A50DA9">
            <w:pPr>
              <w:autoSpaceDE w:val="0"/>
              <w:autoSpaceDN w:val="0"/>
              <w:adjustRightInd w:val="0"/>
              <w:spacing w:after="0"/>
              <w:rPr>
                <w:rFonts w:ascii="Times New Roman" w:hAnsi="Times New Roman"/>
                <w:iCs/>
                <w:sz w:val="24"/>
                <w:szCs w:val="24"/>
              </w:rPr>
            </w:pPr>
            <w:r>
              <w:rPr>
                <w:rFonts w:ascii="Times New Roman" w:hAnsi="Times New Roman"/>
                <w:iCs/>
                <w:sz w:val="24"/>
                <w:szCs w:val="24"/>
              </w:rPr>
              <w:t xml:space="preserve">1. Măsuri normative necesare pentru                                         </w:t>
            </w:r>
          </w:p>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 xml:space="preserve">aplicarea prevederilor proiectului de act normativ:                                           </w:t>
            </w:r>
          </w:p>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 xml:space="preserve">a) acte normative în vigoare ce vor                                       fi modificate sau abrogate, ca urmare a intrării în vigoare a proiectului;                                         </w:t>
            </w:r>
          </w:p>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b) acte normative ce urmează a fi                                          elaborate în vederea implementării noilor dispoziţii</w:t>
            </w:r>
            <w:r>
              <w:rPr>
                <w:rFonts w:ascii="Times New Roman" w:hAnsi="Times New Roman"/>
                <w:i/>
                <w:iCs/>
                <w:sz w:val="24"/>
                <w:szCs w:val="24"/>
              </w:rPr>
              <w:t>.</w:t>
            </w:r>
          </w:p>
        </w:tc>
        <w:tc>
          <w:tcPr>
            <w:tcW w:w="5822" w:type="dxa"/>
            <w:shd w:val="clear" w:color="auto" w:fill="auto"/>
          </w:tcPr>
          <w:p w:rsidR="00AB2812" w:rsidRDefault="00A50DA9">
            <w:pPr>
              <w:spacing w:after="0"/>
              <w:jc w:val="both"/>
              <w:rPr>
                <w:rFonts w:ascii="Times New Roman" w:hAnsi="Times New Roman"/>
                <w:sz w:val="24"/>
                <w:szCs w:val="24"/>
              </w:rPr>
            </w:pPr>
            <w:r>
              <w:rPr>
                <w:rFonts w:ascii="Times New Roman" w:hAnsi="Times New Roman"/>
                <w:bCs/>
                <w:sz w:val="24"/>
                <w:szCs w:val="24"/>
                <w:shd w:val="clear" w:color="auto" w:fill="FFFFFF"/>
                <w:lang w:eastAsia="ro-RO"/>
              </w:rPr>
              <w:t xml:space="preserve"> Proiectul de act normativ nu se referă la acest subiect.</w:t>
            </w:r>
          </w:p>
        </w:tc>
      </w:tr>
      <w:tr w:rsidR="00AB2812">
        <w:trPr>
          <w:trHeight w:val="1980"/>
        </w:trPr>
        <w:tc>
          <w:tcPr>
            <w:tcW w:w="3959" w:type="dxa"/>
            <w:gridSpan w:val="2"/>
            <w:tcBorders>
              <w:bottom w:val="single" w:sz="4" w:space="0" w:color="auto"/>
            </w:tcBorders>
          </w:tcPr>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1</w:t>
            </w:r>
            <w:r>
              <w:rPr>
                <w:rFonts w:ascii="Times New Roman" w:hAnsi="Times New Roman"/>
                <w:iCs/>
                <w:sz w:val="24"/>
                <w:szCs w:val="24"/>
                <w:vertAlign w:val="superscript"/>
              </w:rPr>
              <w:t>1</w:t>
            </w:r>
            <w:r>
              <w:rPr>
                <w:rFonts w:ascii="Times New Roman" w:hAnsi="Times New Roman"/>
                <w:iCs/>
                <w:sz w:val="24"/>
                <w:szCs w:val="24"/>
              </w:rPr>
              <w:t xml:space="preserve"> Compatibilitatea proiectului de act normativ cu legislaţia în domeniul achiziţiilor publice:</w:t>
            </w:r>
          </w:p>
          <w:p w:rsidR="00AB2812" w:rsidRDefault="00A50DA9">
            <w:pPr>
              <w:numPr>
                <w:ilvl w:val="0"/>
                <w:numId w:val="25"/>
              </w:numPr>
              <w:autoSpaceDE w:val="0"/>
              <w:autoSpaceDN w:val="0"/>
              <w:adjustRightInd w:val="0"/>
              <w:spacing w:after="0"/>
              <w:ind w:left="0" w:firstLine="0"/>
              <w:rPr>
                <w:rFonts w:ascii="Times New Roman" w:hAnsi="Times New Roman"/>
                <w:iCs/>
                <w:sz w:val="24"/>
                <w:szCs w:val="24"/>
              </w:rPr>
            </w:pPr>
            <w:r>
              <w:rPr>
                <w:rFonts w:ascii="Times New Roman" w:hAnsi="Times New Roman"/>
                <w:iCs/>
                <w:sz w:val="24"/>
                <w:szCs w:val="24"/>
              </w:rPr>
              <w:t>impact legislativ - prevederi de modificare şi completare a cadrului normativ în domeniul achiziţiilor publice, prevederi derogatorii;</w:t>
            </w:r>
          </w:p>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b) norme cu impact la nivel operaţional/tehnic - sisteme electronice utilizate în desfăşurarea procedurilor de achiziţie publică, unităţi centralizate de achiziţii publice, structură organizatorică internă a autorităţilor contractante.</w:t>
            </w:r>
          </w:p>
          <w:p w:rsidR="00AB2812" w:rsidRDefault="00AB2812">
            <w:pPr>
              <w:autoSpaceDE w:val="0"/>
              <w:autoSpaceDN w:val="0"/>
              <w:adjustRightInd w:val="0"/>
              <w:spacing w:after="0"/>
              <w:jc w:val="both"/>
              <w:rPr>
                <w:rFonts w:ascii="Times New Roman" w:hAnsi="Times New Roman"/>
                <w:iCs/>
                <w:sz w:val="24"/>
                <w:szCs w:val="24"/>
              </w:rPr>
            </w:pPr>
          </w:p>
        </w:tc>
        <w:tc>
          <w:tcPr>
            <w:tcW w:w="5822" w:type="dxa"/>
            <w:tcBorders>
              <w:bottom w:val="single" w:sz="4" w:space="0" w:color="auto"/>
            </w:tcBorders>
            <w:shd w:val="clear" w:color="auto" w:fill="FFFFFF"/>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rPr>
          <w:trHeight w:val="504"/>
        </w:trPr>
        <w:tc>
          <w:tcPr>
            <w:tcW w:w="3959" w:type="dxa"/>
            <w:gridSpan w:val="2"/>
            <w:tcBorders>
              <w:top w:val="single" w:sz="4" w:space="0" w:color="auto"/>
            </w:tcBorders>
          </w:tcPr>
          <w:p w:rsidR="00AB2812" w:rsidRDefault="00A50DA9">
            <w:pPr>
              <w:autoSpaceDE w:val="0"/>
              <w:autoSpaceDN w:val="0"/>
              <w:adjustRightInd w:val="0"/>
              <w:spacing w:after="0"/>
              <w:jc w:val="both"/>
              <w:rPr>
                <w:rFonts w:ascii="Times New Roman" w:hAnsi="Times New Roman"/>
                <w:iCs/>
                <w:sz w:val="24"/>
                <w:szCs w:val="24"/>
              </w:rPr>
            </w:pPr>
            <w:r>
              <w:rPr>
                <w:rFonts w:ascii="Times New Roman" w:hAnsi="Times New Roman"/>
                <w:sz w:val="24"/>
                <w:szCs w:val="24"/>
              </w:rPr>
              <w:t xml:space="preserve">2. Conformitatea proiectului de act normativ cu legislaţia comunitară  </w:t>
            </w:r>
            <w:r>
              <w:rPr>
                <w:rFonts w:ascii="Times New Roman" w:hAnsi="Times New Roman"/>
                <w:iCs/>
                <w:sz w:val="24"/>
                <w:szCs w:val="24"/>
              </w:rPr>
              <w:t>în cazul proiectelor ce transpun prevederi comunitare</w:t>
            </w:r>
          </w:p>
        </w:tc>
        <w:tc>
          <w:tcPr>
            <w:tcW w:w="5822" w:type="dxa"/>
            <w:tcBorders>
              <w:top w:val="single" w:sz="4" w:space="0" w:color="auto"/>
            </w:tcBorders>
            <w:shd w:val="clear" w:color="auto" w:fill="FFFFFF"/>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3. Măsuri normative necesare aplicării directe a actelor normative comunitare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4. Hotărâri ale Curţii de Justiţie a Uniunii Europene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5. Alte acte normative şi/sau documente internaţionale din care decurg angajamente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rPr>
            </w:pPr>
          </w:p>
        </w:tc>
      </w:tr>
      <w:tr w:rsidR="00AB2812">
        <w:trPr>
          <w:trHeight w:val="287"/>
        </w:trPr>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6. Alte informaţii</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p w:rsidR="00AB2812" w:rsidRDefault="00AB2812">
            <w:pPr>
              <w:spacing w:after="0"/>
              <w:jc w:val="both"/>
              <w:rPr>
                <w:rFonts w:ascii="Times New Roman" w:hAnsi="Times New Roman"/>
                <w:sz w:val="24"/>
                <w:szCs w:val="24"/>
              </w:rPr>
            </w:pPr>
          </w:p>
        </w:tc>
      </w:tr>
      <w:tr w:rsidR="00AB2812">
        <w:tc>
          <w:tcPr>
            <w:tcW w:w="9781" w:type="dxa"/>
            <w:gridSpan w:val="3"/>
          </w:tcPr>
          <w:p w:rsidR="00AB2812" w:rsidRDefault="00A50DA9">
            <w:pPr>
              <w:spacing w:after="0"/>
              <w:jc w:val="center"/>
              <w:rPr>
                <w:rFonts w:ascii="Times New Roman" w:hAnsi="Times New Roman"/>
                <w:b/>
                <w:sz w:val="24"/>
                <w:szCs w:val="24"/>
              </w:rPr>
            </w:pPr>
            <w:r>
              <w:rPr>
                <w:rFonts w:ascii="Times New Roman" w:hAnsi="Times New Roman"/>
                <w:b/>
                <w:sz w:val="24"/>
                <w:szCs w:val="24"/>
              </w:rPr>
              <w:t xml:space="preserve">Secţiunea a 6-a: </w:t>
            </w:r>
          </w:p>
          <w:p w:rsidR="00AB2812" w:rsidRDefault="00A50DA9">
            <w:pPr>
              <w:spacing w:after="0"/>
              <w:jc w:val="center"/>
              <w:rPr>
                <w:rFonts w:ascii="Times New Roman" w:hAnsi="Times New Roman"/>
                <w:b/>
                <w:sz w:val="24"/>
                <w:szCs w:val="24"/>
              </w:rPr>
            </w:pPr>
            <w:r>
              <w:rPr>
                <w:rFonts w:ascii="Times New Roman" w:hAnsi="Times New Roman"/>
                <w:b/>
                <w:sz w:val="24"/>
                <w:szCs w:val="24"/>
              </w:rPr>
              <w:t>Consultările efectuate în vederea elaborării proiectului de act normativ</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1. Informaţii privind procesul de consultare cu organizaţii neguvernamentale, institute de cercetare şi alte organisme implicate</w:t>
            </w:r>
          </w:p>
        </w:tc>
        <w:tc>
          <w:tcPr>
            <w:tcW w:w="5822" w:type="dxa"/>
          </w:tcPr>
          <w:p w:rsidR="00AB2812" w:rsidRDefault="00A50DA9">
            <w:pPr>
              <w:autoSpaceDE w:val="0"/>
              <w:autoSpaceDN w:val="0"/>
              <w:adjustRightInd w:val="0"/>
              <w:spacing w:after="0"/>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2. Fundamentarea alegerii organizaţiilor cu care a avut loc consultarea, precum şi a modului  în care activitatea acestor organizaţii este legată de obiectul proiectului de act normativ</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3. Consultările organizate cu autorităţile administraţiei publice locale, în situaţia în care proiectul de act normativ are ca obiect activităţi ale acestor autorităţi, în condiţiile Hotărârii Guvernului nr. 521/2005 privind procedura de consultare a structurilor asociative ale autorităţilor administraţiei publice locale la elaborarea proiectelor de acte normative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 xml:space="preserve"> 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4. Consultările desfăşurate în cadrul consiliilor interministeriale, în conformitate cu prevederile Hotărârii Guvernului nr. 750/2005 privind constituirea consiliilor interministeriale permanente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5. Informaţii privind avizarea de către:</w:t>
            </w:r>
          </w:p>
          <w:p w:rsidR="00AB2812" w:rsidRDefault="00A50DA9">
            <w:pPr>
              <w:spacing w:after="0"/>
              <w:jc w:val="both"/>
              <w:rPr>
                <w:rFonts w:ascii="Times New Roman" w:hAnsi="Times New Roman"/>
                <w:sz w:val="24"/>
                <w:szCs w:val="24"/>
              </w:rPr>
            </w:pPr>
            <w:r>
              <w:rPr>
                <w:rFonts w:ascii="Times New Roman" w:hAnsi="Times New Roman"/>
                <w:sz w:val="24"/>
                <w:szCs w:val="24"/>
              </w:rPr>
              <w:t>a) Consiliul Legislativ</w:t>
            </w:r>
          </w:p>
          <w:p w:rsidR="00AB2812" w:rsidRDefault="00A50DA9">
            <w:pPr>
              <w:spacing w:after="0"/>
              <w:jc w:val="both"/>
              <w:rPr>
                <w:rFonts w:ascii="Times New Roman" w:hAnsi="Times New Roman"/>
                <w:sz w:val="24"/>
                <w:szCs w:val="24"/>
              </w:rPr>
            </w:pPr>
            <w:r>
              <w:rPr>
                <w:rFonts w:ascii="Times New Roman" w:hAnsi="Times New Roman"/>
                <w:sz w:val="24"/>
                <w:szCs w:val="24"/>
              </w:rPr>
              <w:t>b) Consiliul Suprem de Apărare a Ţării</w:t>
            </w:r>
          </w:p>
          <w:p w:rsidR="00AB2812" w:rsidRDefault="00A50DA9">
            <w:pPr>
              <w:spacing w:after="0"/>
              <w:jc w:val="both"/>
              <w:rPr>
                <w:rFonts w:ascii="Times New Roman" w:hAnsi="Times New Roman"/>
                <w:sz w:val="24"/>
                <w:szCs w:val="24"/>
              </w:rPr>
            </w:pPr>
            <w:r>
              <w:rPr>
                <w:rFonts w:ascii="Times New Roman" w:hAnsi="Times New Roman"/>
                <w:sz w:val="24"/>
                <w:szCs w:val="24"/>
              </w:rPr>
              <w:t>c) Consiliul Economic şi Social</w:t>
            </w:r>
          </w:p>
          <w:p w:rsidR="00AB2812" w:rsidRDefault="00A50DA9">
            <w:pPr>
              <w:spacing w:after="0"/>
              <w:jc w:val="both"/>
              <w:rPr>
                <w:rFonts w:ascii="Times New Roman" w:hAnsi="Times New Roman"/>
                <w:sz w:val="24"/>
                <w:szCs w:val="24"/>
              </w:rPr>
            </w:pPr>
            <w:r>
              <w:rPr>
                <w:rFonts w:ascii="Times New Roman" w:hAnsi="Times New Roman"/>
                <w:sz w:val="24"/>
                <w:szCs w:val="24"/>
              </w:rPr>
              <w:t>d) Consiliul Concurenţei;</w:t>
            </w:r>
          </w:p>
          <w:p w:rsidR="00AB2812" w:rsidRDefault="00A50DA9">
            <w:pPr>
              <w:spacing w:after="0"/>
              <w:jc w:val="both"/>
              <w:rPr>
                <w:rFonts w:ascii="Times New Roman" w:hAnsi="Times New Roman"/>
                <w:sz w:val="24"/>
                <w:szCs w:val="24"/>
              </w:rPr>
            </w:pPr>
            <w:r>
              <w:rPr>
                <w:rFonts w:ascii="Times New Roman" w:hAnsi="Times New Roman"/>
                <w:sz w:val="24"/>
                <w:szCs w:val="24"/>
              </w:rPr>
              <w:t>e) Curtea de Conturi.</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6. Alte informaţii</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tc>
      </w:tr>
      <w:tr w:rsidR="00AB2812">
        <w:tc>
          <w:tcPr>
            <w:tcW w:w="9781" w:type="dxa"/>
            <w:gridSpan w:val="3"/>
          </w:tcPr>
          <w:p w:rsidR="00AB2812" w:rsidRDefault="00A50DA9">
            <w:pPr>
              <w:spacing w:after="0"/>
              <w:jc w:val="both"/>
              <w:rPr>
                <w:rFonts w:ascii="Times New Roman" w:hAnsi="Times New Roman"/>
                <w:b/>
                <w:sz w:val="24"/>
                <w:szCs w:val="24"/>
              </w:rPr>
            </w:pPr>
            <w:r>
              <w:rPr>
                <w:rFonts w:ascii="Times New Roman" w:hAnsi="Times New Roman"/>
                <w:b/>
                <w:sz w:val="24"/>
                <w:szCs w:val="24"/>
              </w:rPr>
              <w:t>Secţiunea a 7-a: Activităţi de informare publică privind elaborarea şi implementarea proiectului de act normativ</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1. Informarea societăţii civile cu privire la necesitatea elaborării proiectului de act normativ</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 xml:space="preserve"> În procesul de elaborare a prezentului proiect de act normativ au fost respectate regulile procedurale aplicabile pentru asigurarea transparenţei decizionale, prevăzute de Legea nr.52/2003 privind transparenţa decizională în administraţia publică, republicată. Proiectul de act </w:t>
            </w:r>
            <w:r>
              <w:rPr>
                <w:rFonts w:ascii="Times New Roman" w:hAnsi="Times New Roman"/>
                <w:sz w:val="24"/>
                <w:szCs w:val="24"/>
              </w:rPr>
              <w:lastRenderedPageBreak/>
              <w:t>normativ a fost supus consultării publice, prin publicarea pe pagina de internet a Ministerului Mediului, în data de .................. 2018.</w:t>
            </w: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lastRenderedPageBreak/>
              <w:t>2. Informarea societăţii civile cu privire la eventualul impact asupra mediului în urma implementării proiectului de act normativ, precum şi efectele asupra sănătăţii şi securităţii cetăţenilor sau diversităţii biologice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rPr>
            </w:pP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3. Alte informaţii</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tc>
      </w:tr>
      <w:tr w:rsidR="00AB2812">
        <w:tc>
          <w:tcPr>
            <w:tcW w:w="9781" w:type="dxa"/>
            <w:gridSpan w:val="3"/>
          </w:tcPr>
          <w:p w:rsidR="00AB2812" w:rsidRDefault="00A50DA9">
            <w:pPr>
              <w:spacing w:after="0"/>
              <w:jc w:val="both"/>
              <w:rPr>
                <w:rFonts w:ascii="Times New Roman" w:hAnsi="Times New Roman"/>
                <w:b/>
                <w:sz w:val="24"/>
                <w:szCs w:val="24"/>
              </w:rPr>
            </w:pPr>
            <w:r>
              <w:rPr>
                <w:rFonts w:ascii="Times New Roman" w:hAnsi="Times New Roman"/>
                <w:b/>
                <w:sz w:val="24"/>
                <w:szCs w:val="24"/>
              </w:rPr>
              <w:t>Secţiunea a 8-a: Măsuri de implementare</w:t>
            </w:r>
          </w:p>
        </w:tc>
      </w:tr>
      <w:tr w:rsidR="00AB2812">
        <w:tc>
          <w:tcPr>
            <w:tcW w:w="3959" w:type="dxa"/>
            <w:gridSpan w:val="2"/>
          </w:tcPr>
          <w:p w:rsidR="00AB2812" w:rsidRDefault="00A50DA9">
            <w:pPr>
              <w:numPr>
                <w:ilvl w:val="0"/>
                <w:numId w:val="1"/>
              </w:numPr>
              <w:tabs>
                <w:tab w:val="left" w:pos="210"/>
              </w:tabs>
              <w:spacing w:after="0"/>
              <w:ind w:left="0" w:firstLine="0"/>
              <w:jc w:val="both"/>
              <w:rPr>
                <w:rFonts w:ascii="Times New Roman" w:hAnsi="Times New Roman"/>
                <w:sz w:val="24"/>
                <w:szCs w:val="24"/>
              </w:rPr>
            </w:pPr>
            <w:r>
              <w:rPr>
                <w:rFonts w:ascii="Times New Roman" w:hAnsi="Times New Roman"/>
                <w:sz w:val="24"/>
                <w:szCs w:val="24"/>
              </w:rPr>
              <w:t>Măsurile de punere în aplicare a proiectului de act normativ de către autorităţile administraţiei publice centrale şi/sau locale, înfiinţarea de noi organisme sau extinderea competenţelor instituţiilor existente</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Proiectul de act normativ nu se referă la acest subiect.</w:t>
            </w:r>
          </w:p>
          <w:p w:rsidR="00AB2812" w:rsidRDefault="00AB2812">
            <w:pPr>
              <w:spacing w:after="0"/>
              <w:jc w:val="both"/>
              <w:rPr>
                <w:rFonts w:ascii="Times New Roman" w:hAnsi="Times New Roman"/>
                <w:sz w:val="24"/>
                <w:szCs w:val="24"/>
                <w:lang w:val="pt-PT"/>
              </w:rPr>
            </w:pPr>
          </w:p>
          <w:p w:rsidR="00AB2812" w:rsidRDefault="00AB2812">
            <w:pPr>
              <w:spacing w:after="0"/>
              <w:jc w:val="both"/>
              <w:rPr>
                <w:rFonts w:ascii="Times New Roman" w:hAnsi="Times New Roman"/>
                <w:sz w:val="24"/>
                <w:szCs w:val="24"/>
              </w:rPr>
            </w:pPr>
          </w:p>
          <w:p w:rsidR="00AB2812" w:rsidRDefault="00AB2812">
            <w:pPr>
              <w:spacing w:after="0"/>
              <w:jc w:val="both"/>
              <w:rPr>
                <w:rFonts w:ascii="Times New Roman" w:hAnsi="Times New Roman"/>
                <w:sz w:val="24"/>
                <w:szCs w:val="24"/>
              </w:rPr>
            </w:pPr>
          </w:p>
        </w:tc>
      </w:tr>
      <w:tr w:rsidR="00AB2812">
        <w:tc>
          <w:tcPr>
            <w:tcW w:w="3959" w:type="dxa"/>
            <w:gridSpan w:val="2"/>
          </w:tcPr>
          <w:p w:rsidR="00AB2812" w:rsidRDefault="00A50DA9">
            <w:pPr>
              <w:spacing w:after="0"/>
              <w:jc w:val="both"/>
              <w:rPr>
                <w:rFonts w:ascii="Times New Roman" w:hAnsi="Times New Roman"/>
                <w:sz w:val="24"/>
                <w:szCs w:val="24"/>
              </w:rPr>
            </w:pPr>
            <w:r>
              <w:rPr>
                <w:rFonts w:ascii="Times New Roman" w:hAnsi="Times New Roman"/>
                <w:sz w:val="24"/>
                <w:szCs w:val="24"/>
              </w:rPr>
              <w:t>2. Alte informaţii</w:t>
            </w:r>
          </w:p>
        </w:tc>
        <w:tc>
          <w:tcPr>
            <w:tcW w:w="5822" w:type="dxa"/>
          </w:tcPr>
          <w:p w:rsidR="00AB2812" w:rsidRDefault="00A50DA9">
            <w:pPr>
              <w:spacing w:after="0"/>
              <w:jc w:val="both"/>
              <w:rPr>
                <w:rFonts w:ascii="Times New Roman" w:hAnsi="Times New Roman"/>
                <w:sz w:val="24"/>
                <w:szCs w:val="24"/>
              </w:rPr>
            </w:pPr>
            <w:r>
              <w:rPr>
                <w:rFonts w:ascii="Times New Roman" w:hAnsi="Times New Roman"/>
                <w:sz w:val="24"/>
                <w:szCs w:val="24"/>
              </w:rPr>
              <w:t>Nu au fost identificate.</w:t>
            </w:r>
          </w:p>
        </w:tc>
      </w:tr>
    </w:tbl>
    <w:p w:rsidR="00AB2812" w:rsidRDefault="00AB2812">
      <w:pPr>
        <w:pStyle w:val="Heading1"/>
        <w:spacing w:line="264" w:lineRule="auto"/>
        <w:ind w:right="34"/>
        <w:jc w:val="both"/>
        <w:rPr>
          <w:rFonts w:ascii="Times New Roman" w:hAnsi="Times New Roman" w:cs="Times New Roman"/>
          <w:color w:val="auto"/>
          <w:sz w:val="24"/>
          <w:szCs w:val="24"/>
        </w:rPr>
      </w:pPr>
    </w:p>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Default="001F5D74" w:rsidP="001F5D74"/>
    <w:p w:rsidR="001F5D74" w:rsidRPr="001F5D74" w:rsidRDefault="001F5D74" w:rsidP="001F5D74"/>
    <w:p w:rsidR="00AB2812" w:rsidRDefault="00A50DA9">
      <w:pPr>
        <w:pStyle w:val="Heading1"/>
        <w:spacing w:line="264" w:lineRule="auto"/>
        <w:ind w:right="34"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Având în vedere cele de mai sus, a fost elaborat proiectul de hotărâre de Guvern pentru </w:t>
      </w:r>
      <w:r>
        <w:rPr>
          <w:rFonts w:ascii="Times New Roman" w:hAnsi="Times New Roman" w:cs="Times New Roman"/>
          <w:bCs/>
          <w:color w:val="auto"/>
          <w:sz w:val="24"/>
          <w:szCs w:val="24"/>
        </w:rPr>
        <w:t xml:space="preserve">aprobarea bugetului de venituri şi cheltuieli pe anul 2018 al Fondului pentru mediu şi al Administraţiei Fondului pentru Mediu, </w:t>
      </w:r>
      <w:r w:rsidR="00690E08">
        <w:rPr>
          <w:rFonts w:ascii="Times New Roman" w:hAnsi="Times New Roman" w:cs="Times New Roman"/>
          <w:bCs/>
          <w:color w:val="auto"/>
          <w:sz w:val="24"/>
          <w:szCs w:val="24"/>
        </w:rPr>
        <w:t>rectificat.</w:t>
      </w:r>
    </w:p>
    <w:p w:rsidR="00AB2812" w:rsidRDefault="00AB2812">
      <w:pPr>
        <w:spacing w:after="0"/>
        <w:rPr>
          <w:rFonts w:ascii="Times New Roman" w:hAnsi="Times New Roman"/>
          <w:b/>
          <w:sz w:val="24"/>
          <w:szCs w:val="24"/>
        </w:rPr>
      </w:pPr>
    </w:p>
    <w:p w:rsidR="00AB2812" w:rsidRDefault="00AB2812">
      <w:pPr>
        <w:spacing w:after="0"/>
        <w:rPr>
          <w:rFonts w:ascii="Times New Roman" w:hAnsi="Times New Roman"/>
          <w:b/>
          <w:sz w:val="24"/>
          <w:szCs w:val="24"/>
        </w:rPr>
      </w:pPr>
    </w:p>
    <w:p w:rsidR="00AB2812" w:rsidRDefault="00A50DA9">
      <w:pPr>
        <w:spacing w:after="0"/>
        <w:jc w:val="center"/>
        <w:rPr>
          <w:rFonts w:ascii="Times New Roman" w:hAnsi="Times New Roman"/>
          <w:b/>
          <w:sz w:val="24"/>
          <w:szCs w:val="24"/>
        </w:rPr>
      </w:pPr>
      <w:r>
        <w:rPr>
          <w:rFonts w:ascii="Times New Roman" w:hAnsi="Times New Roman"/>
          <w:b/>
          <w:sz w:val="24"/>
          <w:szCs w:val="24"/>
        </w:rPr>
        <w:t>VICEPRIM-MINISTRU, MINISTRUL MEDIULUI</w:t>
      </w:r>
    </w:p>
    <w:p w:rsidR="00AB2812" w:rsidRDefault="00A50DA9">
      <w:pPr>
        <w:spacing w:after="0"/>
        <w:jc w:val="center"/>
        <w:rPr>
          <w:rFonts w:ascii="Times New Roman" w:hAnsi="Times New Roman"/>
          <w:b/>
          <w:sz w:val="24"/>
          <w:szCs w:val="24"/>
        </w:rPr>
      </w:pPr>
      <w:r>
        <w:rPr>
          <w:rFonts w:ascii="Times New Roman" w:hAnsi="Times New Roman"/>
          <w:b/>
          <w:sz w:val="24"/>
          <w:szCs w:val="24"/>
        </w:rPr>
        <w:t xml:space="preserve">Grațiela-Leocadia GAVRILESCU </w:t>
      </w:r>
    </w:p>
    <w:p w:rsidR="00AB2812" w:rsidRDefault="00AB2812">
      <w:pPr>
        <w:spacing w:after="0"/>
        <w:rPr>
          <w:rFonts w:ascii="Times New Roman" w:hAnsi="Times New Roman"/>
          <w:b/>
          <w:sz w:val="24"/>
          <w:szCs w:val="24"/>
          <w:u w:val="single"/>
        </w:rPr>
      </w:pPr>
    </w:p>
    <w:p w:rsidR="00AB2812" w:rsidRDefault="00AB2812">
      <w:pPr>
        <w:spacing w:after="0"/>
        <w:rPr>
          <w:rFonts w:ascii="Times New Roman" w:hAnsi="Times New Roman"/>
          <w:b/>
          <w:sz w:val="24"/>
          <w:szCs w:val="24"/>
          <w:u w:val="single"/>
        </w:rPr>
      </w:pPr>
    </w:p>
    <w:p w:rsidR="00AB2812" w:rsidRDefault="00AB2812">
      <w:pPr>
        <w:spacing w:after="0"/>
        <w:rPr>
          <w:rFonts w:ascii="Times New Roman" w:hAnsi="Times New Roman"/>
          <w:b/>
          <w:sz w:val="24"/>
          <w:szCs w:val="24"/>
          <w:u w:val="single"/>
        </w:rPr>
      </w:pPr>
    </w:p>
    <w:p w:rsidR="00AB2812" w:rsidRDefault="00A50DA9">
      <w:pPr>
        <w:spacing w:after="0"/>
        <w:jc w:val="center"/>
        <w:rPr>
          <w:rFonts w:ascii="Times New Roman" w:hAnsi="Times New Roman"/>
          <w:b/>
          <w:sz w:val="24"/>
          <w:szCs w:val="24"/>
          <w:u w:val="single"/>
        </w:rPr>
      </w:pPr>
      <w:r>
        <w:rPr>
          <w:rFonts w:ascii="Times New Roman" w:hAnsi="Times New Roman"/>
          <w:b/>
          <w:sz w:val="24"/>
          <w:szCs w:val="24"/>
          <w:u w:val="single"/>
        </w:rPr>
        <w:t>AVIZĂM FAVORABIL</w:t>
      </w:r>
    </w:p>
    <w:p w:rsidR="00AB2812" w:rsidRDefault="00AB2812">
      <w:pPr>
        <w:spacing w:after="0"/>
        <w:jc w:val="center"/>
        <w:rPr>
          <w:rFonts w:ascii="Times New Roman" w:hAnsi="Times New Roman"/>
          <w:b/>
          <w:sz w:val="24"/>
          <w:szCs w:val="24"/>
          <w:u w:val="single"/>
        </w:rPr>
      </w:pPr>
    </w:p>
    <w:tbl>
      <w:tblPr>
        <w:tblW w:w="9998" w:type="dxa"/>
        <w:tblLayout w:type="fixed"/>
        <w:tblLook w:val="0000" w:firstRow="0" w:lastRow="0" w:firstColumn="0" w:lastColumn="0" w:noHBand="0" w:noVBand="0"/>
      </w:tblPr>
      <w:tblGrid>
        <w:gridCol w:w="4999"/>
        <w:gridCol w:w="4999"/>
      </w:tblGrid>
      <w:tr w:rsidR="00AB2812">
        <w:tc>
          <w:tcPr>
            <w:tcW w:w="4999" w:type="dxa"/>
            <w:shd w:val="clear" w:color="auto" w:fill="auto"/>
          </w:tcPr>
          <w:p w:rsidR="00AB2812" w:rsidRDefault="00AB2812">
            <w:pPr>
              <w:spacing w:after="0"/>
              <w:jc w:val="center"/>
              <w:rPr>
                <w:rFonts w:ascii="Times New Roman" w:hAnsi="Times New Roman"/>
                <w:b/>
              </w:rPr>
            </w:pPr>
          </w:p>
          <w:p w:rsidR="00AB2812" w:rsidRDefault="00A50DA9">
            <w:pPr>
              <w:spacing w:after="0"/>
              <w:jc w:val="center"/>
              <w:rPr>
                <w:rFonts w:ascii="Times New Roman" w:hAnsi="Times New Roman"/>
                <w:b/>
              </w:rPr>
            </w:pPr>
            <w:r>
              <w:rPr>
                <w:rFonts w:ascii="Times New Roman" w:hAnsi="Times New Roman"/>
                <w:b/>
              </w:rPr>
              <w:t>MINISTRUL MUNCII ŞI JUSTIȚIEI SOCIALE,</w:t>
            </w:r>
          </w:p>
          <w:p w:rsidR="00AB2812" w:rsidRDefault="00A50DA9">
            <w:pPr>
              <w:spacing w:after="0"/>
              <w:jc w:val="center"/>
              <w:rPr>
                <w:rFonts w:ascii="Times New Roman" w:eastAsia="Times New Roman" w:hAnsi="Times New Roman"/>
                <w:b/>
              </w:rPr>
            </w:pPr>
            <w:r>
              <w:rPr>
                <w:rFonts w:ascii="Times New Roman" w:hAnsi="Times New Roman"/>
                <w:b/>
              </w:rPr>
              <w:t>Lia-Olguța VASILESCU</w:t>
            </w:r>
          </w:p>
        </w:tc>
        <w:tc>
          <w:tcPr>
            <w:tcW w:w="4999" w:type="dxa"/>
            <w:shd w:val="clear" w:color="auto" w:fill="auto"/>
          </w:tcPr>
          <w:p w:rsidR="00AB2812" w:rsidRDefault="00A50DA9">
            <w:pPr>
              <w:spacing w:after="0"/>
              <w:jc w:val="center"/>
              <w:rPr>
                <w:rFonts w:ascii="Times New Roman" w:eastAsia="Times New Roman" w:hAnsi="Times New Roman"/>
                <w:b/>
              </w:rPr>
            </w:pPr>
            <w:r>
              <w:rPr>
                <w:rFonts w:ascii="Times New Roman" w:eastAsia="Times New Roman" w:hAnsi="Times New Roman"/>
                <w:b/>
              </w:rPr>
              <w:t xml:space="preserve">    </w:t>
            </w:r>
          </w:p>
          <w:p w:rsidR="00AB2812" w:rsidRDefault="00A50DA9">
            <w:pPr>
              <w:spacing w:after="0"/>
              <w:jc w:val="center"/>
              <w:rPr>
                <w:rFonts w:ascii="Times New Roman" w:hAnsi="Times New Roman"/>
                <w:b/>
              </w:rPr>
            </w:pPr>
            <w:r>
              <w:rPr>
                <w:rFonts w:ascii="Times New Roman" w:eastAsia="Times New Roman" w:hAnsi="Times New Roman"/>
                <w:b/>
              </w:rPr>
              <w:t xml:space="preserve">  </w:t>
            </w:r>
            <w:r>
              <w:rPr>
                <w:rFonts w:ascii="Times New Roman" w:hAnsi="Times New Roman"/>
                <w:b/>
              </w:rPr>
              <w:t>MINISTRUL FINANŢELOR PUBLICE,</w:t>
            </w:r>
          </w:p>
          <w:p w:rsidR="00AB2812" w:rsidRDefault="00A50DA9">
            <w:pPr>
              <w:spacing w:after="0"/>
              <w:jc w:val="center"/>
              <w:rPr>
                <w:rFonts w:ascii="Times New Roman" w:hAnsi="Times New Roman"/>
                <w:b/>
              </w:rPr>
            </w:pPr>
            <w:r>
              <w:rPr>
                <w:rFonts w:ascii="Times New Roman" w:hAnsi="Times New Roman"/>
                <w:b/>
              </w:rPr>
              <w:t>Eugen Orlando TEODOROVICI</w:t>
            </w:r>
          </w:p>
          <w:p w:rsidR="00AB2812" w:rsidRDefault="00AB2812">
            <w:pPr>
              <w:spacing w:after="0"/>
              <w:jc w:val="center"/>
              <w:rPr>
                <w:rFonts w:ascii="Times New Roman" w:hAnsi="Times New Roman"/>
                <w:b/>
              </w:rPr>
            </w:pPr>
          </w:p>
        </w:tc>
      </w:tr>
    </w:tbl>
    <w:p w:rsidR="00AB2812" w:rsidRDefault="00A50DA9">
      <w:pPr>
        <w:spacing w:after="0" w:line="240" w:lineRule="auto"/>
        <w:ind w:right="36"/>
        <w:rPr>
          <w:rFonts w:ascii="Times New Roman" w:hAnsi="Times New Roman"/>
          <w:b/>
        </w:rPr>
      </w:pPr>
      <w:r>
        <w:rPr>
          <w:rFonts w:ascii="Times New Roman" w:hAnsi="Times New Roman"/>
          <w:b/>
        </w:rPr>
        <w:t xml:space="preserve">                   </w:t>
      </w:r>
    </w:p>
    <w:p w:rsidR="00AB2812" w:rsidRDefault="00A50DA9">
      <w:pPr>
        <w:spacing w:after="0" w:line="240" w:lineRule="auto"/>
        <w:ind w:right="36"/>
        <w:rPr>
          <w:rFonts w:ascii="Times New Roman" w:hAnsi="Times New Roman"/>
          <w:b/>
          <w:lang w:val="it-IT"/>
        </w:rPr>
      </w:pPr>
      <w:r>
        <w:rPr>
          <w:rFonts w:ascii="Times New Roman" w:hAnsi="Times New Roman"/>
          <w:b/>
          <w:lang w:val="it-IT"/>
        </w:rPr>
        <w:t xml:space="preserve">            </w:t>
      </w:r>
    </w:p>
    <w:p w:rsidR="00AB2812" w:rsidRDefault="00A50DA9">
      <w:pPr>
        <w:spacing w:after="0" w:line="240" w:lineRule="auto"/>
        <w:ind w:right="36"/>
        <w:rPr>
          <w:rFonts w:ascii="Times New Roman" w:hAnsi="Times New Roman"/>
          <w:b/>
          <w:lang w:val="it-IT"/>
        </w:rPr>
      </w:pPr>
      <w:r>
        <w:rPr>
          <w:rFonts w:ascii="Times New Roman" w:hAnsi="Times New Roman"/>
          <w:b/>
          <w:lang w:val="it-IT"/>
        </w:rPr>
        <w:t xml:space="preserve">       MINISTRUL APELOR ȘI PĂDURILOR,</w:t>
      </w:r>
    </w:p>
    <w:p w:rsidR="00AB2812" w:rsidRDefault="00A50DA9">
      <w:pPr>
        <w:spacing w:after="0" w:line="240" w:lineRule="auto"/>
        <w:ind w:right="36"/>
        <w:rPr>
          <w:rFonts w:ascii="Times New Roman" w:hAnsi="Times New Roman"/>
          <w:b/>
        </w:rPr>
      </w:pPr>
      <w:r>
        <w:rPr>
          <w:rFonts w:ascii="Times New Roman" w:hAnsi="Times New Roman"/>
          <w:b/>
          <w:lang w:val="it-IT"/>
        </w:rPr>
        <w:t xml:space="preserve">                            Ioan DENE</w:t>
      </w:r>
      <w:r>
        <w:rPr>
          <w:rFonts w:ascii="Times New Roman" w:hAnsi="Times New Roman"/>
          <w:b/>
        </w:rPr>
        <w:t>Ș</w:t>
      </w: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spacing w:after="0" w:line="240" w:lineRule="auto"/>
        <w:ind w:right="36"/>
        <w:rPr>
          <w:rFonts w:ascii="Times New Roman" w:hAnsi="Times New Roman"/>
          <w:b/>
          <w:sz w:val="24"/>
          <w:szCs w:val="24"/>
          <w:lang w:val="it-IT"/>
        </w:rPr>
      </w:pPr>
    </w:p>
    <w:p w:rsidR="00AB2812" w:rsidRDefault="00AB2812">
      <w:pPr>
        <w:tabs>
          <w:tab w:val="left" w:pos="0"/>
        </w:tabs>
        <w:spacing w:after="0" w:line="240" w:lineRule="auto"/>
        <w:jc w:val="both"/>
        <w:rPr>
          <w:rFonts w:ascii="Times New Roman" w:eastAsia="Times New Roman" w:hAnsi="Times New Roman"/>
          <w:sz w:val="24"/>
          <w:szCs w:val="24"/>
        </w:rPr>
      </w:pPr>
    </w:p>
    <w:p w:rsidR="00AB2812" w:rsidRDefault="00AB2812">
      <w:pPr>
        <w:tabs>
          <w:tab w:val="left" w:pos="0"/>
        </w:tabs>
        <w:spacing w:after="0" w:line="240" w:lineRule="auto"/>
        <w:jc w:val="both"/>
        <w:rPr>
          <w:rFonts w:ascii="Times New Roman" w:eastAsia="Times New Roman" w:hAnsi="Times New Roman"/>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SECRETAR DE STAT</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Ion CÎMPEANU</w:t>
      </w:r>
    </w:p>
    <w:p w:rsidR="00AB2812" w:rsidRDefault="00AB2812">
      <w:pPr>
        <w:tabs>
          <w:tab w:val="left" w:pos="0"/>
        </w:tabs>
        <w:spacing w:after="0"/>
        <w:rPr>
          <w:rFonts w:ascii="Times New Roman" w:hAnsi="Times New Roman"/>
          <w:b/>
          <w:sz w:val="24"/>
          <w:szCs w:val="24"/>
        </w:rPr>
      </w:pPr>
    </w:p>
    <w:p w:rsidR="00AB2812" w:rsidRDefault="00AB2812">
      <w:pPr>
        <w:tabs>
          <w:tab w:val="left" w:pos="0"/>
        </w:tabs>
        <w:spacing w:after="0"/>
        <w:rPr>
          <w:rFonts w:ascii="Times New Roman" w:hAnsi="Times New Roman"/>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SECRETAR GENERAL</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Teodor DULCEAŢĂ</w:t>
      </w:r>
    </w:p>
    <w:p w:rsidR="00AB2812" w:rsidRDefault="00AB2812">
      <w:pPr>
        <w:tabs>
          <w:tab w:val="left" w:pos="0"/>
        </w:tabs>
        <w:spacing w:after="0"/>
        <w:rPr>
          <w:rFonts w:ascii="Times New Roman" w:hAnsi="Times New Roman"/>
          <w:b/>
          <w:sz w:val="24"/>
          <w:szCs w:val="24"/>
        </w:rPr>
      </w:pPr>
    </w:p>
    <w:p w:rsidR="00AB2812" w:rsidRDefault="00AB2812">
      <w:pPr>
        <w:tabs>
          <w:tab w:val="left" w:pos="0"/>
        </w:tabs>
        <w:spacing w:after="0"/>
        <w:rPr>
          <w:rFonts w:ascii="Times New Roman" w:hAnsi="Times New Roman"/>
          <w:b/>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SECRETAR GENERAL ADJUNCT</w:t>
      </w:r>
    </w:p>
    <w:p w:rsidR="00AB2812" w:rsidRDefault="004D4728">
      <w:pPr>
        <w:tabs>
          <w:tab w:val="left" w:pos="0"/>
        </w:tabs>
        <w:spacing w:after="0"/>
        <w:rPr>
          <w:rFonts w:ascii="Times New Roman" w:hAnsi="Times New Roman"/>
          <w:sz w:val="24"/>
          <w:szCs w:val="24"/>
        </w:rPr>
      </w:pPr>
      <w:r>
        <w:rPr>
          <w:rFonts w:ascii="Times New Roman" w:hAnsi="Times New Roman"/>
          <w:b/>
          <w:sz w:val="24"/>
          <w:szCs w:val="24"/>
        </w:rPr>
        <w:t>Petre NEACȘA</w:t>
      </w:r>
      <w:bookmarkStart w:id="0" w:name="_GoBack"/>
      <w:bookmarkEnd w:id="0"/>
    </w:p>
    <w:p w:rsidR="00AB2812" w:rsidRDefault="00AB2812">
      <w:pPr>
        <w:tabs>
          <w:tab w:val="left" w:pos="0"/>
        </w:tabs>
        <w:spacing w:after="0"/>
        <w:rPr>
          <w:rFonts w:ascii="Times New Roman" w:hAnsi="Times New Roman"/>
          <w:sz w:val="24"/>
          <w:szCs w:val="24"/>
        </w:rPr>
      </w:pPr>
    </w:p>
    <w:p w:rsidR="00AB2812" w:rsidRDefault="00AB2812">
      <w:pPr>
        <w:tabs>
          <w:tab w:val="left" w:pos="0"/>
        </w:tabs>
        <w:spacing w:after="0"/>
        <w:rPr>
          <w:rFonts w:ascii="Times New Roman" w:hAnsi="Times New Roman"/>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DIRECŢIA JURIDICĂ ȘI RELAȚIA CU PARLAMENTUL</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Director,</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Daniela TEODORU</w:t>
      </w:r>
    </w:p>
    <w:p w:rsidR="00AB2812" w:rsidRDefault="00AB2812">
      <w:pPr>
        <w:tabs>
          <w:tab w:val="left" w:pos="0"/>
        </w:tabs>
        <w:spacing w:after="0"/>
        <w:rPr>
          <w:rFonts w:ascii="Times New Roman" w:hAnsi="Times New Roman"/>
          <w:b/>
          <w:sz w:val="24"/>
          <w:szCs w:val="24"/>
        </w:rPr>
      </w:pPr>
    </w:p>
    <w:p w:rsidR="00AB2812" w:rsidRDefault="00AB2812">
      <w:pPr>
        <w:tabs>
          <w:tab w:val="left" w:pos="0"/>
        </w:tabs>
        <w:spacing w:after="0"/>
        <w:rPr>
          <w:rFonts w:ascii="Times New Roman" w:hAnsi="Times New Roman"/>
          <w:b/>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DIRECŢIA ECONOMICO-FINANCIARĂ</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Director,</w:t>
      </w:r>
    </w:p>
    <w:p w:rsidR="00AB2812" w:rsidRDefault="00A50DA9">
      <w:pPr>
        <w:tabs>
          <w:tab w:val="left" w:pos="0"/>
        </w:tabs>
        <w:spacing w:after="0"/>
        <w:rPr>
          <w:rFonts w:ascii="Times New Roman" w:hAnsi="Times New Roman"/>
          <w:b/>
          <w:sz w:val="24"/>
          <w:szCs w:val="24"/>
        </w:rPr>
      </w:pPr>
      <w:r>
        <w:rPr>
          <w:rFonts w:ascii="Times New Roman" w:hAnsi="Times New Roman"/>
          <w:b/>
          <w:sz w:val="24"/>
          <w:szCs w:val="24"/>
        </w:rPr>
        <w:t xml:space="preserve">Dinu Octavian NICOLESCU </w:t>
      </w:r>
    </w:p>
    <w:p w:rsidR="00AB2812" w:rsidRDefault="00AB2812">
      <w:pPr>
        <w:tabs>
          <w:tab w:val="left" w:pos="0"/>
        </w:tabs>
        <w:spacing w:after="0"/>
        <w:rPr>
          <w:rFonts w:ascii="Times New Roman" w:hAnsi="Times New Roman"/>
          <w:b/>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 xml:space="preserve"> </w:t>
      </w:r>
    </w:p>
    <w:p w:rsidR="00AB2812" w:rsidRDefault="00A50DA9">
      <w:pPr>
        <w:spacing w:after="0" w:line="254" w:lineRule="auto"/>
        <w:rPr>
          <w:rFonts w:ascii="Times New Roman" w:hAnsi="Times New Roman"/>
          <w:sz w:val="24"/>
          <w:szCs w:val="24"/>
          <w:lang w:eastAsia="ro-RO"/>
        </w:rPr>
      </w:pPr>
      <w:r>
        <w:rPr>
          <w:rFonts w:ascii="Times New Roman" w:hAnsi="Times New Roman"/>
          <w:sz w:val="24"/>
          <w:szCs w:val="24"/>
          <w:lang w:eastAsia="ro-RO"/>
        </w:rPr>
        <w:t>DIRECȚIA GENERALĂ EVALUARE IMPACT</w:t>
      </w:r>
    </w:p>
    <w:p w:rsidR="00AB2812" w:rsidRDefault="00A50DA9">
      <w:pPr>
        <w:spacing w:after="0" w:line="254" w:lineRule="auto"/>
        <w:rPr>
          <w:rFonts w:ascii="Times New Roman" w:hAnsi="Times New Roman"/>
          <w:sz w:val="24"/>
          <w:szCs w:val="24"/>
          <w:lang w:eastAsia="ro-RO"/>
        </w:rPr>
      </w:pPr>
      <w:r>
        <w:rPr>
          <w:rFonts w:ascii="Times New Roman" w:hAnsi="Times New Roman"/>
          <w:sz w:val="24"/>
          <w:szCs w:val="24"/>
          <w:lang w:eastAsia="ro-RO"/>
        </w:rPr>
        <w:t>ȘI CONTROLUL POLUĂRII</w:t>
      </w:r>
    </w:p>
    <w:p w:rsidR="00AB2812" w:rsidRDefault="00A50DA9">
      <w:pPr>
        <w:spacing w:after="0" w:line="254" w:lineRule="auto"/>
        <w:rPr>
          <w:rFonts w:ascii="Times New Roman" w:hAnsi="Times New Roman"/>
          <w:b/>
          <w:sz w:val="24"/>
          <w:szCs w:val="24"/>
          <w:lang w:eastAsia="ro-RO"/>
        </w:rPr>
      </w:pPr>
      <w:r>
        <w:rPr>
          <w:rFonts w:ascii="Times New Roman" w:hAnsi="Times New Roman"/>
          <w:b/>
          <w:sz w:val="24"/>
          <w:szCs w:val="24"/>
          <w:lang w:eastAsia="ro-RO"/>
        </w:rPr>
        <w:t>Director general,</w:t>
      </w:r>
    </w:p>
    <w:p w:rsidR="00AB2812" w:rsidRDefault="00A50DA9">
      <w:pPr>
        <w:spacing w:after="0" w:line="254" w:lineRule="auto"/>
        <w:rPr>
          <w:rFonts w:ascii="Times New Roman" w:hAnsi="Times New Roman"/>
          <w:b/>
          <w:sz w:val="24"/>
          <w:szCs w:val="24"/>
          <w:lang w:eastAsia="ro-RO"/>
        </w:rPr>
      </w:pPr>
      <w:r>
        <w:rPr>
          <w:rFonts w:ascii="Times New Roman" w:hAnsi="Times New Roman"/>
          <w:b/>
          <w:sz w:val="24"/>
          <w:szCs w:val="24"/>
          <w:lang w:eastAsia="ro-RO"/>
        </w:rPr>
        <w:t>Dorina MOCANU</w:t>
      </w:r>
    </w:p>
    <w:p w:rsidR="00AB2812" w:rsidRDefault="00AB2812">
      <w:pPr>
        <w:spacing w:after="0" w:line="254" w:lineRule="auto"/>
        <w:rPr>
          <w:rFonts w:ascii="Times New Roman" w:hAnsi="Times New Roman"/>
          <w:b/>
          <w:sz w:val="24"/>
          <w:szCs w:val="24"/>
          <w:lang w:eastAsia="ro-RO"/>
        </w:rPr>
      </w:pPr>
    </w:p>
    <w:p w:rsidR="00AB2812" w:rsidRDefault="00AB2812">
      <w:pPr>
        <w:spacing w:after="0" w:line="254" w:lineRule="auto"/>
        <w:rPr>
          <w:rFonts w:ascii="Times New Roman" w:hAnsi="Times New Roman"/>
          <w:sz w:val="24"/>
          <w:szCs w:val="24"/>
          <w:lang w:eastAsia="ro-RO"/>
        </w:rPr>
      </w:pPr>
    </w:p>
    <w:p w:rsidR="00AB2812" w:rsidRDefault="00A50DA9">
      <w:pPr>
        <w:spacing w:after="0" w:line="254" w:lineRule="auto"/>
        <w:rPr>
          <w:rFonts w:ascii="Times New Roman" w:hAnsi="Times New Roman"/>
          <w:sz w:val="24"/>
          <w:szCs w:val="24"/>
          <w:lang w:eastAsia="ro-RO"/>
        </w:rPr>
      </w:pPr>
      <w:r>
        <w:rPr>
          <w:rFonts w:ascii="Times New Roman" w:hAnsi="Times New Roman"/>
          <w:sz w:val="24"/>
          <w:szCs w:val="24"/>
          <w:lang w:eastAsia="ro-RO"/>
        </w:rPr>
        <w:t xml:space="preserve">DIRECȚIA ECONOMIE VERDE, </w:t>
      </w:r>
    </w:p>
    <w:p w:rsidR="00AB2812" w:rsidRDefault="00A50DA9">
      <w:pPr>
        <w:spacing w:after="0" w:line="254" w:lineRule="auto"/>
        <w:rPr>
          <w:rFonts w:ascii="Times New Roman" w:hAnsi="Times New Roman"/>
          <w:sz w:val="24"/>
          <w:szCs w:val="24"/>
          <w:lang w:eastAsia="ro-RO"/>
        </w:rPr>
      </w:pPr>
      <w:r>
        <w:rPr>
          <w:rFonts w:ascii="Times New Roman" w:hAnsi="Times New Roman"/>
          <w:sz w:val="24"/>
          <w:szCs w:val="24"/>
          <w:lang w:eastAsia="ro-RO"/>
        </w:rPr>
        <w:t>SCHIMBĂRI CLIMATICE ȘI DEZVOLTARE DURABILĂ</w:t>
      </w:r>
    </w:p>
    <w:p w:rsidR="00AB2812" w:rsidRDefault="00A50DA9">
      <w:pPr>
        <w:spacing w:after="0" w:line="254" w:lineRule="auto"/>
        <w:rPr>
          <w:rFonts w:ascii="Times New Roman" w:hAnsi="Times New Roman"/>
          <w:b/>
          <w:sz w:val="24"/>
          <w:szCs w:val="24"/>
          <w:lang w:eastAsia="ro-RO"/>
        </w:rPr>
      </w:pPr>
      <w:r>
        <w:rPr>
          <w:rFonts w:ascii="Times New Roman" w:hAnsi="Times New Roman"/>
          <w:b/>
          <w:sz w:val="24"/>
          <w:szCs w:val="24"/>
          <w:lang w:eastAsia="ro-RO"/>
        </w:rPr>
        <w:t>Director,</w:t>
      </w:r>
    </w:p>
    <w:p w:rsidR="00AB2812" w:rsidRDefault="00A50DA9">
      <w:pPr>
        <w:spacing w:after="0" w:line="254" w:lineRule="auto"/>
        <w:rPr>
          <w:rFonts w:ascii="Times New Roman" w:hAnsi="Times New Roman"/>
          <w:b/>
          <w:sz w:val="24"/>
          <w:szCs w:val="24"/>
          <w:lang w:eastAsia="ro-RO"/>
        </w:rPr>
      </w:pPr>
      <w:r>
        <w:rPr>
          <w:rFonts w:ascii="Times New Roman" w:hAnsi="Times New Roman"/>
          <w:b/>
          <w:sz w:val="24"/>
          <w:szCs w:val="24"/>
          <w:lang w:eastAsia="ro-RO"/>
        </w:rPr>
        <w:t>Elena-Oana ANTONESCU-STAN</w:t>
      </w:r>
    </w:p>
    <w:p w:rsidR="00AB2812" w:rsidRDefault="00AB2812">
      <w:pPr>
        <w:spacing w:after="0" w:line="254" w:lineRule="auto"/>
        <w:rPr>
          <w:rFonts w:ascii="Times New Roman" w:hAnsi="Times New Roman"/>
          <w:b/>
          <w:sz w:val="24"/>
          <w:szCs w:val="24"/>
          <w:lang w:eastAsia="ro-RO"/>
        </w:rPr>
      </w:pPr>
    </w:p>
    <w:p w:rsidR="00AB2812" w:rsidRDefault="00AB2812">
      <w:pPr>
        <w:tabs>
          <w:tab w:val="left" w:pos="0"/>
        </w:tabs>
        <w:spacing w:after="0"/>
        <w:rPr>
          <w:rFonts w:ascii="Times New Roman" w:hAnsi="Times New Roman"/>
          <w:sz w:val="24"/>
          <w:szCs w:val="24"/>
        </w:rPr>
      </w:pPr>
    </w:p>
    <w:p w:rsidR="00AB2812" w:rsidRDefault="00A50DA9">
      <w:pPr>
        <w:tabs>
          <w:tab w:val="left" w:pos="0"/>
        </w:tabs>
        <w:spacing w:after="0"/>
        <w:rPr>
          <w:rFonts w:ascii="Times New Roman" w:hAnsi="Times New Roman"/>
          <w:sz w:val="24"/>
          <w:szCs w:val="24"/>
        </w:rPr>
      </w:pPr>
      <w:r>
        <w:rPr>
          <w:rFonts w:ascii="Times New Roman" w:hAnsi="Times New Roman"/>
          <w:sz w:val="24"/>
          <w:szCs w:val="24"/>
        </w:rPr>
        <w:t>ADMINISTRAŢIA FONDULUI PENTRU MEDIU</w:t>
      </w:r>
    </w:p>
    <w:p w:rsidR="00AB2812" w:rsidRDefault="00A50DA9">
      <w:pPr>
        <w:spacing w:after="0"/>
        <w:rPr>
          <w:rFonts w:ascii="Times New Roman" w:hAnsi="Times New Roman"/>
          <w:b/>
          <w:sz w:val="24"/>
          <w:szCs w:val="24"/>
        </w:rPr>
      </w:pPr>
      <w:r>
        <w:rPr>
          <w:rFonts w:ascii="Times New Roman" w:hAnsi="Times New Roman"/>
          <w:b/>
          <w:sz w:val="24"/>
          <w:szCs w:val="24"/>
        </w:rPr>
        <w:t>PREŞEDINTE,</w:t>
      </w:r>
    </w:p>
    <w:p w:rsidR="00AB2812" w:rsidRDefault="00A50DA9">
      <w:pPr>
        <w:spacing w:after="0"/>
        <w:rPr>
          <w:rFonts w:ascii="Times New Roman" w:hAnsi="Times New Roman"/>
          <w:b/>
          <w:sz w:val="24"/>
          <w:szCs w:val="24"/>
        </w:rPr>
      </w:pPr>
      <w:r>
        <w:rPr>
          <w:rFonts w:ascii="Times New Roman" w:hAnsi="Times New Roman"/>
          <w:b/>
          <w:sz w:val="24"/>
          <w:szCs w:val="24"/>
        </w:rPr>
        <w:t>Cornel BREZUICĂ</w:t>
      </w:r>
    </w:p>
    <w:p w:rsidR="00AB2812" w:rsidRDefault="00AB2812">
      <w:pPr>
        <w:spacing w:line="240" w:lineRule="auto"/>
        <w:rPr>
          <w:rFonts w:ascii="Times New Roman" w:hAnsi="Times New Roman"/>
          <w:b/>
          <w:bCs/>
          <w:sz w:val="24"/>
          <w:szCs w:val="24"/>
          <w:lang w:eastAsia="ro-RO"/>
        </w:rPr>
      </w:pPr>
    </w:p>
    <w:p w:rsidR="00AB2812" w:rsidRDefault="00AB2812">
      <w:pPr>
        <w:spacing w:line="240" w:lineRule="auto"/>
        <w:jc w:val="both"/>
        <w:rPr>
          <w:rFonts w:ascii="Times New Roman" w:hAnsi="Times New Roman"/>
          <w:b/>
          <w:sz w:val="24"/>
          <w:szCs w:val="24"/>
        </w:rPr>
      </w:pPr>
    </w:p>
    <w:p w:rsidR="00AB2812" w:rsidRDefault="00AB2812">
      <w:pPr>
        <w:rPr>
          <w:rFonts w:ascii="Times New Roman" w:hAnsi="Times New Roman"/>
          <w:sz w:val="24"/>
          <w:szCs w:val="24"/>
        </w:rPr>
      </w:pPr>
    </w:p>
    <w:sectPr w:rsidR="00AB2812">
      <w:footerReference w:type="default" r:id="rId9"/>
      <w:type w:val="continuous"/>
      <w:pgSz w:w="11906" w:h="16838"/>
      <w:pgMar w:top="709" w:right="991" w:bottom="993" w:left="1985"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BF" w:rsidRDefault="002C00BF">
      <w:pPr>
        <w:spacing w:after="0" w:line="240" w:lineRule="auto"/>
      </w:pPr>
      <w:r>
        <w:separator/>
      </w:r>
    </w:p>
  </w:endnote>
  <w:endnote w:type="continuationSeparator" w:id="0">
    <w:p w:rsidR="002C00BF" w:rsidRDefault="002C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604713029"/>
      <w:docPartObj>
        <w:docPartGallery w:val="Page Numbers (Bottom of Page)"/>
        <w:docPartUnique/>
      </w:docPartObj>
    </w:sdtPr>
    <w:sdtEndPr>
      <w:rPr>
        <w:noProof/>
      </w:rPr>
    </w:sdtEndPr>
    <w:sdtContent>
      <w:p w:rsidR="00AB2812" w:rsidRDefault="00A50DA9">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D4728">
          <w:rPr>
            <w:rFonts w:ascii="Times New Roman" w:hAnsi="Times New Roman"/>
            <w:noProof/>
          </w:rPr>
          <w:t>26</w:t>
        </w:r>
        <w:r>
          <w:rPr>
            <w:rFonts w:ascii="Times New Roman" w:hAnsi="Times New Roman"/>
            <w:noProof/>
          </w:rPr>
          <w:fldChar w:fldCharType="end"/>
        </w:r>
      </w:p>
    </w:sdtContent>
  </w:sdt>
  <w:p w:rsidR="00AB2812" w:rsidRDefault="00AB2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BF" w:rsidRDefault="002C00BF">
      <w:pPr>
        <w:spacing w:after="0" w:line="240" w:lineRule="auto"/>
      </w:pPr>
      <w:r>
        <w:separator/>
      </w:r>
    </w:p>
  </w:footnote>
  <w:footnote w:type="continuationSeparator" w:id="0">
    <w:p w:rsidR="002C00BF" w:rsidRDefault="002C0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849E48"/>
    <w:lvl w:ilvl="0">
      <w:start w:val="1"/>
      <w:numFmt w:val="decimal"/>
      <w:lvlText w:val="%1."/>
      <w:lvlJc w:val="left"/>
      <w:pPr>
        <w:tabs>
          <w:tab w:val="num" w:pos="1492"/>
        </w:tabs>
        <w:ind w:left="1492" w:hanging="360"/>
      </w:pPr>
    </w:lvl>
  </w:abstractNum>
  <w:abstractNum w:abstractNumId="1">
    <w:nsid w:val="FFFFFF7D"/>
    <w:multiLevelType w:val="singleLevel"/>
    <w:tmpl w:val="0E6239BA"/>
    <w:lvl w:ilvl="0">
      <w:start w:val="1"/>
      <w:numFmt w:val="decimal"/>
      <w:lvlText w:val="%1."/>
      <w:lvlJc w:val="left"/>
      <w:pPr>
        <w:tabs>
          <w:tab w:val="num" w:pos="1209"/>
        </w:tabs>
        <w:ind w:left="1209" w:hanging="360"/>
      </w:pPr>
    </w:lvl>
  </w:abstractNum>
  <w:abstractNum w:abstractNumId="2">
    <w:nsid w:val="FFFFFF7E"/>
    <w:multiLevelType w:val="singleLevel"/>
    <w:tmpl w:val="A844A5BE"/>
    <w:lvl w:ilvl="0">
      <w:start w:val="1"/>
      <w:numFmt w:val="decimal"/>
      <w:lvlText w:val="%1."/>
      <w:lvlJc w:val="left"/>
      <w:pPr>
        <w:tabs>
          <w:tab w:val="num" w:pos="926"/>
        </w:tabs>
        <w:ind w:left="926" w:hanging="360"/>
      </w:pPr>
    </w:lvl>
  </w:abstractNum>
  <w:abstractNum w:abstractNumId="3">
    <w:nsid w:val="FFFFFF7F"/>
    <w:multiLevelType w:val="singleLevel"/>
    <w:tmpl w:val="14205358"/>
    <w:lvl w:ilvl="0">
      <w:start w:val="1"/>
      <w:numFmt w:val="decimal"/>
      <w:lvlText w:val="%1."/>
      <w:lvlJc w:val="left"/>
      <w:pPr>
        <w:tabs>
          <w:tab w:val="num" w:pos="643"/>
        </w:tabs>
        <w:ind w:left="643" w:hanging="360"/>
      </w:pPr>
    </w:lvl>
  </w:abstractNum>
  <w:abstractNum w:abstractNumId="4">
    <w:nsid w:val="FFFFFF80"/>
    <w:multiLevelType w:val="singleLevel"/>
    <w:tmpl w:val="450EA2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9A72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A242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7CAF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BA7FD2"/>
    <w:lvl w:ilvl="0">
      <w:start w:val="1"/>
      <w:numFmt w:val="decimal"/>
      <w:lvlText w:val="%1."/>
      <w:lvlJc w:val="left"/>
      <w:pPr>
        <w:tabs>
          <w:tab w:val="num" w:pos="360"/>
        </w:tabs>
        <w:ind w:left="360" w:hanging="360"/>
      </w:pPr>
    </w:lvl>
  </w:abstractNum>
  <w:abstractNum w:abstractNumId="9">
    <w:nsid w:val="FFFFFF89"/>
    <w:multiLevelType w:val="singleLevel"/>
    <w:tmpl w:val="C1E04ADC"/>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6"/>
    <w:lvl w:ilvl="0">
      <w:start w:val="14"/>
      <w:numFmt w:val="bullet"/>
      <w:lvlText w:val="-"/>
      <w:lvlJc w:val="left"/>
      <w:pPr>
        <w:tabs>
          <w:tab w:val="num" w:pos="0"/>
        </w:tabs>
        <w:ind w:left="1068" w:hanging="360"/>
      </w:pPr>
      <w:rPr>
        <w:rFonts w:ascii="Times New Roman" w:hAnsi="Times New Roman" w:cs="Times New Roman"/>
        <w:sz w:val="26"/>
        <w:szCs w:val="26"/>
        <w:lang w:val="it-IT"/>
      </w:rPr>
    </w:lvl>
  </w:abstractNum>
  <w:abstractNum w:abstractNumId="11">
    <w:nsid w:val="0158486D"/>
    <w:multiLevelType w:val="hybridMultilevel"/>
    <w:tmpl w:val="3AB0CA3C"/>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45F56FE"/>
    <w:multiLevelType w:val="hybridMultilevel"/>
    <w:tmpl w:val="78D61866"/>
    <w:lvl w:ilvl="0" w:tplc="7E8E98E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87B0963"/>
    <w:multiLevelType w:val="hybridMultilevel"/>
    <w:tmpl w:val="1C80B58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BC408EC"/>
    <w:multiLevelType w:val="hybridMultilevel"/>
    <w:tmpl w:val="BC4E97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A544FF8"/>
    <w:multiLevelType w:val="hybridMultilevel"/>
    <w:tmpl w:val="0450B274"/>
    <w:lvl w:ilvl="0" w:tplc="D1FC2AC4">
      <w:start w:val="1"/>
      <w:numFmt w:val="upperLetter"/>
      <w:lvlText w:val="%1."/>
      <w:lvlJc w:val="left"/>
      <w:pPr>
        <w:ind w:left="360" w:hanging="360"/>
      </w:pPr>
      <w:rPr>
        <w:rFonts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F5956FB"/>
    <w:multiLevelType w:val="hybridMultilevel"/>
    <w:tmpl w:val="2A5EB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50500"/>
    <w:multiLevelType w:val="hybridMultilevel"/>
    <w:tmpl w:val="37C030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646132D"/>
    <w:multiLevelType w:val="hybridMultilevel"/>
    <w:tmpl w:val="EEFE15B6"/>
    <w:lvl w:ilvl="0" w:tplc="6F3E376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EB4EBB"/>
    <w:multiLevelType w:val="hybridMultilevel"/>
    <w:tmpl w:val="CBA63A86"/>
    <w:lvl w:ilvl="0" w:tplc="50F8997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7953C6D"/>
    <w:multiLevelType w:val="hybridMultilevel"/>
    <w:tmpl w:val="C8DC12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2D0C5527"/>
    <w:multiLevelType w:val="hybridMultilevel"/>
    <w:tmpl w:val="084CB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6D0B99"/>
    <w:multiLevelType w:val="hybridMultilevel"/>
    <w:tmpl w:val="321CCC9C"/>
    <w:lvl w:ilvl="0" w:tplc="901E6BD4">
      <w:start w:val="5"/>
      <w:numFmt w:val="bullet"/>
      <w:lvlText w:val="−"/>
      <w:lvlJc w:val="left"/>
      <w:pPr>
        <w:ind w:left="575" w:hanging="360"/>
      </w:pPr>
      <w:rPr>
        <w:rFonts w:ascii="Calibri" w:eastAsia="Times New Roman" w:hAnsi="Calibri" w:cs="Times New Roman" w:hint="default"/>
        <w:i w:val="0"/>
        <w:u w:val="none"/>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23">
    <w:nsid w:val="32AA63E8"/>
    <w:multiLevelType w:val="hybridMultilevel"/>
    <w:tmpl w:val="08587766"/>
    <w:lvl w:ilvl="0" w:tplc="C28E38AC">
      <w:start w:val="1"/>
      <w:numFmt w:val="decimal"/>
      <w:lvlText w:val="%1."/>
      <w:lvlJc w:val="left"/>
      <w:pPr>
        <w:ind w:left="720" w:hanging="72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335A5302"/>
    <w:multiLevelType w:val="hybridMultilevel"/>
    <w:tmpl w:val="4F06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852283"/>
    <w:multiLevelType w:val="hybridMultilevel"/>
    <w:tmpl w:val="DD9AE4A6"/>
    <w:lvl w:ilvl="0" w:tplc="C37CEA4A">
      <w:start w:val="1"/>
      <w:numFmt w:val="bullet"/>
      <w:lvlText w:val="-"/>
      <w:lvlJc w:val="left"/>
      <w:pPr>
        <w:ind w:left="720" w:hanging="360"/>
      </w:pPr>
      <w:rPr>
        <w:rFonts w:ascii="Times New Roman" w:eastAsia="Calibri" w:hAnsi="Times New Roman" w:cs="Times New Roman"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6F16D99"/>
    <w:multiLevelType w:val="hybridMultilevel"/>
    <w:tmpl w:val="1F00CE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72F502A"/>
    <w:multiLevelType w:val="hybridMultilevel"/>
    <w:tmpl w:val="81D0AADA"/>
    <w:lvl w:ilvl="0" w:tplc="5022B7FA">
      <w:start w:val="2"/>
      <w:numFmt w:val="bullet"/>
      <w:lvlText w:val="-"/>
      <w:lvlJc w:val="left"/>
      <w:pPr>
        <w:ind w:left="720" w:hanging="360"/>
      </w:pPr>
      <w:rPr>
        <w:rFonts w:ascii="Times New Roman" w:eastAsia="Calibri" w:hAnsi="Times New Roman" w:cs="Times New Roman" w:hint="default"/>
        <w:i w:val="0"/>
        <w:sz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39F94E34"/>
    <w:multiLevelType w:val="hybridMultilevel"/>
    <w:tmpl w:val="19E27A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7DB699A"/>
    <w:multiLevelType w:val="hybridMultilevel"/>
    <w:tmpl w:val="D13CAB20"/>
    <w:lvl w:ilvl="0" w:tplc="5B4E2FBC">
      <w:start w:val="248"/>
      <w:numFmt w:val="bullet"/>
      <w:lvlText w:val="-"/>
      <w:lvlJc w:val="left"/>
      <w:pPr>
        <w:tabs>
          <w:tab w:val="num" w:pos="720"/>
        </w:tabs>
        <w:ind w:left="720" w:hanging="360"/>
      </w:pPr>
      <w:rPr>
        <w:rFonts w:ascii="Times New Roman" w:eastAsia="Calibri"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2457F1"/>
    <w:multiLevelType w:val="hybridMultilevel"/>
    <w:tmpl w:val="2FBEEB40"/>
    <w:lvl w:ilvl="0" w:tplc="A1326982">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6BA623A"/>
    <w:multiLevelType w:val="hybridMultilevel"/>
    <w:tmpl w:val="2F7CFF12"/>
    <w:lvl w:ilvl="0" w:tplc="CD12C0C2">
      <w:start w:val="2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B72F7"/>
    <w:multiLevelType w:val="hybridMultilevel"/>
    <w:tmpl w:val="15C45A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B7C61B1"/>
    <w:multiLevelType w:val="hybridMultilevel"/>
    <w:tmpl w:val="6C9634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F767B5E"/>
    <w:multiLevelType w:val="hybridMultilevel"/>
    <w:tmpl w:val="BAE2EC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6A04E2B"/>
    <w:multiLevelType w:val="hybridMultilevel"/>
    <w:tmpl w:val="088C4C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994146A"/>
    <w:multiLevelType w:val="hybridMultilevel"/>
    <w:tmpl w:val="5526EC18"/>
    <w:lvl w:ilvl="0" w:tplc="FC68C948">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776C9C"/>
    <w:multiLevelType w:val="hybridMultilevel"/>
    <w:tmpl w:val="E9CE3754"/>
    <w:lvl w:ilvl="0" w:tplc="DCAC306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8">
    <w:nsid w:val="72D52369"/>
    <w:multiLevelType w:val="hybridMultilevel"/>
    <w:tmpl w:val="734EE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9C786C"/>
    <w:multiLevelType w:val="hybridMultilevel"/>
    <w:tmpl w:val="361AE3DA"/>
    <w:lvl w:ilvl="0" w:tplc="CD12C0C2">
      <w:start w:val="2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B3C5D"/>
    <w:multiLevelType w:val="hybridMultilevel"/>
    <w:tmpl w:val="1B9C7C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C383F77"/>
    <w:multiLevelType w:val="hybridMultilevel"/>
    <w:tmpl w:val="6AE40B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EA8432C"/>
    <w:multiLevelType w:val="multilevel"/>
    <w:tmpl w:val="6F441E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40"/>
  </w:num>
  <w:num w:numId="15">
    <w:abstractNumId w:val="32"/>
  </w:num>
  <w:num w:numId="16">
    <w:abstractNumId w:val="28"/>
  </w:num>
  <w:num w:numId="17">
    <w:abstractNumId w:val="34"/>
  </w:num>
  <w:num w:numId="18">
    <w:abstractNumId w:val="41"/>
  </w:num>
  <w:num w:numId="19">
    <w:abstractNumId w:val="26"/>
  </w:num>
  <w:num w:numId="20">
    <w:abstractNumId w:val="35"/>
  </w:num>
  <w:num w:numId="21">
    <w:abstractNumId w:val="13"/>
  </w:num>
  <w:num w:numId="22">
    <w:abstractNumId w:val="36"/>
  </w:num>
  <w:num w:numId="23">
    <w:abstractNumId w:val="29"/>
  </w:num>
  <w:num w:numId="24">
    <w:abstractNumId w:val="38"/>
  </w:num>
  <w:num w:numId="25">
    <w:abstractNumId w:val="17"/>
  </w:num>
  <w:num w:numId="26">
    <w:abstractNumId w:val="37"/>
  </w:num>
  <w:num w:numId="27">
    <w:abstractNumId w:val="12"/>
  </w:num>
  <w:num w:numId="28">
    <w:abstractNumId w:val="25"/>
  </w:num>
  <w:num w:numId="29">
    <w:abstractNumId w:val="19"/>
  </w:num>
  <w:num w:numId="30">
    <w:abstractNumId w:val="27"/>
  </w:num>
  <w:num w:numId="31">
    <w:abstractNumId w:val="21"/>
  </w:num>
  <w:num w:numId="32">
    <w:abstractNumId w:val="22"/>
  </w:num>
  <w:num w:numId="33">
    <w:abstractNumId w:val="20"/>
  </w:num>
  <w:num w:numId="34">
    <w:abstractNumId w:val="11"/>
  </w:num>
  <w:num w:numId="35">
    <w:abstractNumId w:val="14"/>
  </w:num>
  <w:num w:numId="36">
    <w:abstractNumId w:val="15"/>
  </w:num>
  <w:num w:numId="37">
    <w:abstractNumId w:val="23"/>
  </w:num>
  <w:num w:numId="38">
    <w:abstractNumId w:val="31"/>
  </w:num>
  <w:num w:numId="39">
    <w:abstractNumId w:val="39"/>
  </w:num>
  <w:num w:numId="40">
    <w:abstractNumId w:val="42"/>
  </w:num>
  <w:num w:numId="41">
    <w:abstractNumId w:val="24"/>
  </w:num>
  <w:num w:numId="42">
    <w:abstractNumId w:val="1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12"/>
    <w:rsid w:val="001F5D74"/>
    <w:rsid w:val="002C00BF"/>
    <w:rsid w:val="002C2811"/>
    <w:rsid w:val="002E51E0"/>
    <w:rsid w:val="002F4DA2"/>
    <w:rsid w:val="00403C40"/>
    <w:rsid w:val="004D4728"/>
    <w:rsid w:val="00690E08"/>
    <w:rsid w:val="006F1D9E"/>
    <w:rsid w:val="00791175"/>
    <w:rsid w:val="007E6723"/>
    <w:rsid w:val="00823B2E"/>
    <w:rsid w:val="00866B9D"/>
    <w:rsid w:val="00876DB9"/>
    <w:rsid w:val="00986868"/>
    <w:rsid w:val="009A2C0B"/>
    <w:rsid w:val="00A16B07"/>
    <w:rsid w:val="00A50DA9"/>
    <w:rsid w:val="00A534DF"/>
    <w:rsid w:val="00AB2812"/>
    <w:rsid w:val="00AB2950"/>
    <w:rsid w:val="00CA7286"/>
    <w:rsid w:val="00DF467E"/>
    <w:rsid w:val="00F3674C"/>
    <w:rsid w:val="00F8597A"/>
    <w:rsid w:val="00FE39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b/>
      <w:bCs/>
      <w:sz w:val="36"/>
      <w:szCs w:val="36"/>
      <w:lang w:eastAsia="ro-RO"/>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Calibri" w:hAnsi="Tahoma" w:cs="Times New Roman"/>
      <w:sz w:val="16"/>
      <w:szCs w:val="16"/>
      <w:lang w:val="x-none"/>
    </w:rPr>
  </w:style>
  <w:style w:type="character" w:customStyle="1" w:styleId="do1">
    <w:name w:val="do1"/>
    <w:rPr>
      <w:b/>
      <w:bCs/>
      <w:sz w:val="26"/>
      <w:szCs w:val="26"/>
    </w:rPr>
  </w:style>
  <w:style w:type="table" w:styleId="TableGrid">
    <w:name w:val="Table Grid"/>
    <w:aliases w:val="Tabellengitternetz"/>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style>
  <w:style w:type="character" w:styleId="Emphasis">
    <w:name w:val="Emphasis"/>
    <w:qFormat/>
    <w:rPr>
      <w:b/>
      <w:bCs/>
      <w:i w:val="0"/>
      <w:iCs w:val="0"/>
    </w:rPr>
  </w:style>
  <w:style w:type="paragraph" w:styleId="FootnoteText">
    <w:name w:val="footnote text"/>
    <w:basedOn w:val="Normal"/>
    <w:link w:val="FootnoteTextChar"/>
    <w:semiHidden/>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Pr>
      <w:rFonts w:ascii="Times New Roman" w:eastAsia="Times New Roman" w:hAnsi="Times New Roman"/>
      <w:lang w:val="en-US" w:eastAsia="en-US"/>
    </w:rPr>
  </w:style>
  <w:style w:type="character" w:styleId="FootnoteReference">
    <w:name w:val="footnote reference"/>
    <w:aliases w:val="Footnote symbol,Footnote Reference Number,Footnote Reference Superscript"/>
    <w:uiPriority w:val="99"/>
    <w:semiHidden/>
    <w:rPr>
      <w:vertAlign w:val="superscript"/>
    </w:rPr>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
    <w:basedOn w:val="Normal"/>
    <w:link w:val="ListParagraphChar"/>
    <w:qFormat/>
    <w:pPr>
      <w:ind w:left="720"/>
      <w:contextualSpacing/>
    </w:pPr>
  </w:style>
  <w:style w:type="character" w:customStyle="1" w:styleId="tpt1">
    <w:name w:val="tpt1"/>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eastAsia="en-U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
    <w:basedOn w:val="DefaultParagraphFont"/>
    <w:link w:val="ListParagraph"/>
    <w:uiPriority w:val="34"/>
    <w:rPr>
      <w:sz w:val="22"/>
      <w:szCs w:val="22"/>
      <w:lang w:eastAsia="en-US"/>
    </w:rPr>
  </w:style>
  <w:style w:type="paragraph" w:styleId="Caption">
    <w:name w:val="caption"/>
    <w:aliases w:val="Caption Char Char Char Char Char Char,Map,Caption Char1,Caption Char Char"/>
    <w:basedOn w:val="Normal"/>
    <w:next w:val="Normal"/>
    <w:link w:val="CaptionChar"/>
    <w:uiPriority w:val="99"/>
    <w:qFormat/>
    <w:pPr>
      <w:spacing w:before="170" w:after="100" w:line="170" w:lineRule="atLeast"/>
      <w:jc w:val="both"/>
    </w:pPr>
    <w:rPr>
      <w:rFonts w:ascii="Verdana" w:eastAsia="Times New Roman" w:hAnsi="Verdana"/>
      <w:b/>
      <w:bCs/>
      <w:sz w:val="18"/>
      <w:szCs w:val="20"/>
      <w:lang w:val="en-GB" w:eastAsia="da-DK"/>
    </w:rPr>
  </w:style>
  <w:style w:type="character" w:customStyle="1" w:styleId="CaptionChar">
    <w:name w:val="Caption Char"/>
    <w:aliases w:val="Caption Char Char Char Char Char Char Char,Map Char,Caption Char1 Char,Caption Char Char Char"/>
    <w:link w:val="Caption"/>
    <w:uiPriority w:val="99"/>
    <w:rPr>
      <w:rFonts w:ascii="Verdana" w:eastAsia="Times New Roman" w:hAnsi="Verdana"/>
      <w:b/>
      <w:bCs/>
      <w:sz w:val="18"/>
      <w:lang w:val="en-GB" w:eastAsia="da-DK"/>
    </w:rPr>
  </w:style>
  <w:style w:type="character" w:customStyle="1" w:styleId="al1">
    <w:name w:val="al1"/>
    <w:basedOn w:val="DefaultParagraphFont"/>
    <w:rPr>
      <w:b/>
      <w:bCs/>
      <w:color w:val="008F00"/>
    </w:rPr>
  </w:style>
  <w:style w:type="character" w:customStyle="1" w:styleId="tal1">
    <w:name w:val="tal1"/>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en-US"/>
    </w:rPr>
  </w:style>
  <w:style w:type="paragraph" w:styleId="NoSpacing">
    <w:name w:val="No Spacing"/>
    <w:uiPriority w:val="1"/>
    <w:qFormat/>
    <w:rPr>
      <w:rFonts w:ascii="Times New Roman" w:eastAsia="MS Mincho" w:hAnsi="Times New Roman"/>
      <w:sz w:val="24"/>
      <w:szCs w:val="24"/>
      <w:lang w:eastAsia="en-US"/>
    </w:rPr>
  </w:style>
  <w:style w:type="paragraph" w:styleId="Revision">
    <w:name w:val="Revision"/>
    <w:hidden/>
    <w:uiPriority w:val="99"/>
    <w:semiHidden/>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b/>
      <w:bCs/>
      <w:sz w:val="36"/>
      <w:szCs w:val="36"/>
      <w:lang w:eastAsia="ro-RO"/>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Calibri" w:hAnsi="Tahoma" w:cs="Times New Roman"/>
      <w:sz w:val="16"/>
      <w:szCs w:val="16"/>
      <w:lang w:val="x-none"/>
    </w:rPr>
  </w:style>
  <w:style w:type="character" w:customStyle="1" w:styleId="do1">
    <w:name w:val="do1"/>
    <w:rPr>
      <w:b/>
      <w:bCs/>
      <w:sz w:val="26"/>
      <w:szCs w:val="26"/>
    </w:rPr>
  </w:style>
  <w:style w:type="table" w:styleId="TableGrid">
    <w:name w:val="Table Grid"/>
    <w:aliases w:val="Tabellengitternetz"/>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style>
  <w:style w:type="character" w:styleId="Emphasis">
    <w:name w:val="Emphasis"/>
    <w:qFormat/>
    <w:rPr>
      <w:b/>
      <w:bCs/>
      <w:i w:val="0"/>
      <w:iCs w:val="0"/>
    </w:rPr>
  </w:style>
  <w:style w:type="paragraph" w:styleId="FootnoteText">
    <w:name w:val="footnote text"/>
    <w:basedOn w:val="Normal"/>
    <w:link w:val="FootnoteTextChar"/>
    <w:semiHidden/>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Pr>
      <w:rFonts w:ascii="Times New Roman" w:eastAsia="Times New Roman" w:hAnsi="Times New Roman"/>
      <w:lang w:val="en-US" w:eastAsia="en-US"/>
    </w:rPr>
  </w:style>
  <w:style w:type="character" w:styleId="FootnoteReference">
    <w:name w:val="footnote reference"/>
    <w:aliases w:val="Footnote symbol,Footnote Reference Number,Footnote Reference Superscript"/>
    <w:uiPriority w:val="99"/>
    <w:semiHidden/>
    <w:rPr>
      <w:vertAlign w:val="superscript"/>
    </w:rPr>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
    <w:basedOn w:val="Normal"/>
    <w:link w:val="ListParagraphChar"/>
    <w:qFormat/>
    <w:pPr>
      <w:ind w:left="720"/>
      <w:contextualSpacing/>
    </w:pPr>
  </w:style>
  <w:style w:type="character" w:customStyle="1" w:styleId="tpt1">
    <w:name w:val="tpt1"/>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eastAsia="en-U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
    <w:basedOn w:val="DefaultParagraphFont"/>
    <w:link w:val="ListParagraph"/>
    <w:uiPriority w:val="34"/>
    <w:rPr>
      <w:sz w:val="22"/>
      <w:szCs w:val="22"/>
      <w:lang w:eastAsia="en-US"/>
    </w:rPr>
  </w:style>
  <w:style w:type="paragraph" w:styleId="Caption">
    <w:name w:val="caption"/>
    <w:aliases w:val="Caption Char Char Char Char Char Char,Map,Caption Char1,Caption Char Char"/>
    <w:basedOn w:val="Normal"/>
    <w:next w:val="Normal"/>
    <w:link w:val="CaptionChar"/>
    <w:uiPriority w:val="99"/>
    <w:qFormat/>
    <w:pPr>
      <w:spacing w:before="170" w:after="100" w:line="170" w:lineRule="atLeast"/>
      <w:jc w:val="both"/>
    </w:pPr>
    <w:rPr>
      <w:rFonts w:ascii="Verdana" w:eastAsia="Times New Roman" w:hAnsi="Verdana"/>
      <w:b/>
      <w:bCs/>
      <w:sz w:val="18"/>
      <w:szCs w:val="20"/>
      <w:lang w:val="en-GB" w:eastAsia="da-DK"/>
    </w:rPr>
  </w:style>
  <w:style w:type="character" w:customStyle="1" w:styleId="CaptionChar">
    <w:name w:val="Caption Char"/>
    <w:aliases w:val="Caption Char Char Char Char Char Char Char,Map Char,Caption Char1 Char,Caption Char Char Char"/>
    <w:link w:val="Caption"/>
    <w:uiPriority w:val="99"/>
    <w:rPr>
      <w:rFonts w:ascii="Verdana" w:eastAsia="Times New Roman" w:hAnsi="Verdana"/>
      <w:b/>
      <w:bCs/>
      <w:sz w:val="18"/>
      <w:lang w:val="en-GB" w:eastAsia="da-DK"/>
    </w:rPr>
  </w:style>
  <w:style w:type="character" w:customStyle="1" w:styleId="al1">
    <w:name w:val="al1"/>
    <w:basedOn w:val="DefaultParagraphFont"/>
    <w:rPr>
      <w:b/>
      <w:bCs/>
      <w:color w:val="008F00"/>
    </w:rPr>
  </w:style>
  <w:style w:type="character" w:customStyle="1" w:styleId="tal1">
    <w:name w:val="tal1"/>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en-US"/>
    </w:rPr>
  </w:style>
  <w:style w:type="paragraph" w:styleId="NoSpacing">
    <w:name w:val="No Spacing"/>
    <w:uiPriority w:val="1"/>
    <w:qFormat/>
    <w:rPr>
      <w:rFonts w:ascii="Times New Roman" w:eastAsia="MS Mincho" w:hAnsi="Times New Roman"/>
      <w:sz w:val="24"/>
      <w:szCs w:val="24"/>
      <w:lang w:eastAsia="en-US"/>
    </w:rPr>
  </w:style>
  <w:style w:type="paragraph" w:styleId="Revision">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305">
      <w:bodyDiv w:val="1"/>
      <w:marLeft w:val="0"/>
      <w:marRight w:val="0"/>
      <w:marTop w:val="0"/>
      <w:marBottom w:val="0"/>
      <w:divBdr>
        <w:top w:val="none" w:sz="0" w:space="0" w:color="auto"/>
        <w:left w:val="none" w:sz="0" w:space="0" w:color="auto"/>
        <w:bottom w:val="none" w:sz="0" w:space="0" w:color="auto"/>
        <w:right w:val="none" w:sz="0" w:space="0" w:color="auto"/>
      </w:divBdr>
    </w:div>
    <w:div w:id="146095079">
      <w:bodyDiv w:val="1"/>
      <w:marLeft w:val="0"/>
      <w:marRight w:val="0"/>
      <w:marTop w:val="0"/>
      <w:marBottom w:val="0"/>
      <w:divBdr>
        <w:top w:val="none" w:sz="0" w:space="0" w:color="auto"/>
        <w:left w:val="none" w:sz="0" w:space="0" w:color="auto"/>
        <w:bottom w:val="none" w:sz="0" w:space="0" w:color="auto"/>
        <w:right w:val="none" w:sz="0" w:space="0" w:color="auto"/>
      </w:divBdr>
    </w:div>
    <w:div w:id="157424998">
      <w:bodyDiv w:val="1"/>
      <w:marLeft w:val="0"/>
      <w:marRight w:val="0"/>
      <w:marTop w:val="0"/>
      <w:marBottom w:val="0"/>
      <w:divBdr>
        <w:top w:val="none" w:sz="0" w:space="0" w:color="auto"/>
        <w:left w:val="none" w:sz="0" w:space="0" w:color="auto"/>
        <w:bottom w:val="none" w:sz="0" w:space="0" w:color="auto"/>
        <w:right w:val="none" w:sz="0" w:space="0" w:color="auto"/>
      </w:divBdr>
    </w:div>
    <w:div w:id="180516607">
      <w:bodyDiv w:val="1"/>
      <w:marLeft w:val="0"/>
      <w:marRight w:val="0"/>
      <w:marTop w:val="0"/>
      <w:marBottom w:val="0"/>
      <w:divBdr>
        <w:top w:val="none" w:sz="0" w:space="0" w:color="auto"/>
        <w:left w:val="none" w:sz="0" w:space="0" w:color="auto"/>
        <w:bottom w:val="none" w:sz="0" w:space="0" w:color="auto"/>
        <w:right w:val="none" w:sz="0" w:space="0" w:color="auto"/>
      </w:divBdr>
    </w:div>
    <w:div w:id="222840009">
      <w:bodyDiv w:val="1"/>
      <w:marLeft w:val="0"/>
      <w:marRight w:val="0"/>
      <w:marTop w:val="0"/>
      <w:marBottom w:val="0"/>
      <w:divBdr>
        <w:top w:val="none" w:sz="0" w:space="0" w:color="auto"/>
        <w:left w:val="none" w:sz="0" w:space="0" w:color="auto"/>
        <w:bottom w:val="none" w:sz="0" w:space="0" w:color="auto"/>
        <w:right w:val="none" w:sz="0" w:space="0" w:color="auto"/>
      </w:divBdr>
    </w:div>
    <w:div w:id="275212355">
      <w:bodyDiv w:val="1"/>
      <w:marLeft w:val="0"/>
      <w:marRight w:val="0"/>
      <w:marTop w:val="0"/>
      <w:marBottom w:val="0"/>
      <w:divBdr>
        <w:top w:val="none" w:sz="0" w:space="0" w:color="auto"/>
        <w:left w:val="none" w:sz="0" w:space="0" w:color="auto"/>
        <w:bottom w:val="none" w:sz="0" w:space="0" w:color="auto"/>
        <w:right w:val="none" w:sz="0" w:space="0" w:color="auto"/>
      </w:divBdr>
    </w:div>
    <w:div w:id="286353552">
      <w:bodyDiv w:val="1"/>
      <w:marLeft w:val="0"/>
      <w:marRight w:val="0"/>
      <w:marTop w:val="0"/>
      <w:marBottom w:val="0"/>
      <w:divBdr>
        <w:top w:val="none" w:sz="0" w:space="0" w:color="auto"/>
        <w:left w:val="none" w:sz="0" w:space="0" w:color="auto"/>
        <w:bottom w:val="none" w:sz="0" w:space="0" w:color="auto"/>
        <w:right w:val="none" w:sz="0" w:space="0" w:color="auto"/>
      </w:divBdr>
    </w:div>
    <w:div w:id="375089223">
      <w:bodyDiv w:val="1"/>
      <w:marLeft w:val="0"/>
      <w:marRight w:val="0"/>
      <w:marTop w:val="0"/>
      <w:marBottom w:val="0"/>
      <w:divBdr>
        <w:top w:val="none" w:sz="0" w:space="0" w:color="auto"/>
        <w:left w:val="none" w:sz="0" w:space="0" w:color="auto"/>
        <w:bottom w:val="none" w:sz="0" w:space="0" w:color="auto"/>
        <w:right w:val="none" w:sz="0" w:space="0" w:color="auto"/>
      </w:divBdr>
    </w:div>
    <w:div w:id="376854206">
      <w:bodyDiv w:val="1"/>
      <w:marLeft w:val="0"/>
      <w:marRight w:val="0"/>
      <w:marTop w:val="0"/>
      <w:marBottom w:val="0"/>
      <w:divBdr>
        <w:top w:val="none" w:sz="0" w:space="0" w:color="auto"/>
        <w:left w:val="none" w:sz="0" w:space="0" w:color="auto"/>
        <w:bottom w:val="none" w:sz="0" w:space="0" w:color="auto"/>
        <w:right w:val="none" w:sz="0" w:space="0" w:color="auto"/>
      </w:divBdr>
    </w:div>
    <w:div w:id="589899401">
      <w:bodyDiv w:val="1"/>
      <w:marLeft w:val="0"/>
      <w:marRight w:val="0"/>
      <w:marTop w:val="0"/>
      <w:marBottom w:val="0"/>
      <w:divBdr>
        <w:top w:val="none" w:sz="0" w:space="0" w:color="auto"/>
        <w:left w:val="none" w:sz="0" w:space="0" w:color="auto"/>
        <w:bottom w:val="none" w:sz="0" w:space="0" w:color="auto"/>
        <w:right w:val="none" w:sz="0" w:space="0" w:color="auto"/>
      </w:divBdr>
    </w:div>
    <w:div w:id="756706515">
      <w:bodyDiv w:val="1"/>
      <w:marLeft w:val="0"/>
      <w:marRight w:val="0"/>
      <w:marTop w:val="0"/>
      <w:marBottom w:val="0"/>
      <w:divBdr>
        <w:top w:val="none" w:sz="0" w:space="0" w:color="auto"/>
        <w:left w:val="none" w:sz="0" w:space="0" w:color="auto"/>
        <w:bottom w:val="none" w:sz="0" w:space="0" w:color="auto"/>
        <w:right w:val="none" w:sz="0" w:space="0" w:color="auto"/>
      </w:divBdr>
    </w:div>
    <w:div w:id="816066848">
      <w:bodyDiv w:val="1"/>
      <w:marLeft w:val="0"/>
      <w:marRight w:val="0"/>
      <w:marTop w:val="0"/>
      <w:marBottom w:val="0"/>
      <w:divBdr>
        <w:top w:val="none" w:sz="0" w:space="0" w:color="auto"/>
        <w:left w:val="none" w:sz="0" w:space="0" w:color="auto"/>
        <w:bottom w:val="none" w:sz="0" w:space="0" w:color="auto"/>
        <w:right w:val="none" w:sz="0" w:space="0" w:color="auto"/>
      </w:divBdr>
    </w:div>
    <w:div w:id="1023359249">
      <w:bodyDiv w:val="1"/>
      <w:marLeft w:val="0"/>
      <w:marRight w:val="0"/>
      <w:marTop w:val="0"/>
      <w:marBottom w:val="0"/>
      <w:divBdr>
        <w:top w:val="none" w:sz="0" w:space="0" w:color="auto"/>
        <w:left w:val="none" w:sz="0" w:space="0" w:color="auto"/>
        <w:bottom w:val="none" w:sz="0" w:space="0" w:color="auto"/>
        <w:right w:val="none" w:sz="0" w:space="0" w:color="auto"/>
      </w:divBdr>
    </w:div>
    <w:div w:id="1175412612">
      <w:bodyDiv w:val="1"/>
      <w:marLeft w:val="0"/>
      <w:marRight w:val="0"/>
      <w:marTop w:val="0"/>
      <w:marBottom w:val="0"/>
      <w:divBdr>
        <w:top w:val="none" w:sz="0" w:space="0" w:color="auto"/>
        <w:left w:val="none" w:sz="0" w:space="0" w:color="auto"/>
        <w:bottom w:val="none" w:sz="0" w:space="0" w:color="auto"/>
        <w:right w:val="none" w:sz="0" w:space="0" w:color="auto"/>
      </w:divBdr>
    </w:div>
    <w:div w:id="1230381425">
      <w:bodyDiv w:val="1"/>
      <w:marLeft w:val="0"/>
      <w:marRight w:val="0"/>
      <w:marTop w:val="0"/>
      <w:marBottom w:val="0"/>
      <w:divBdr>
        <w:top w:val="none" w:sz="0" w:space="0" w:color="auto"/>
        <w:left w:val="none" w:sz="0" w:space="0" w:color="auto"/>
        <w:bottom w:val="none" w:sz="0" w:space="0" w:color="auto"/>
        <w:right w:val="none" w:sz="0" w:space="0" w:color="auto"/>
      </w:divBdr>
    </w:div>
    <w:div w:id="1692217645">
      <w:bodyDiv w:val="1"/>
      <w:marLeft w:val="0"/>
      <w:marRight w:val="0"/>
      <w:marTop w:val="0"/>
      <w:marBottom w:val="0"/>
      <w:divBdr>
        <w:top w:val="none" w:sz="0" w:space="0" w:color="auto"/>
        <w:left w:val="none" w:sz="0" w:space="0" w:color="auto"/>
        <w:bottom w:val="none" w:sz="0" w:space="0" w:color="auto"/>
        <w:right w:val="none" w:sz="0" w:space="0" w:color="auto"/>
      </w:divBdr>
    </w:div>
    <w:div w:id="1727797991">
      <w:bodyDiv w:val="1"/>
      <w:marLeft w:val="0"/>
      <w:marRight w:val="0"/>
      <w:marTop w:val="0"/>
      <w:marBottom w:val="0"/>
      <w:divBdr>
        <w:top w:val="none" w:sz="0" w:space="0" w:color="auto"/>
        <w:left w:val="none" w:sz="0" w:space="0" w:color="auto"/>
        <w:bottom w:val="none" w:sz="0" w:space="0" w:color="auto"/>
        <w:right w:val="none" w:sz="0" w:space="0" w:color="auto"/>
      </w:divBdr>
    </w:div>
    <w:div w:id="1804301632">
      <w:bodyDiv w:val="1"/>
      <w:marLeft w:val="0"/>
      <w:marRight w:val="0"/>
      <w:marTop w:val="0"/>
      <w:marBottom w:val="0"/>
      <w:divBdr>
        <w:top w:val="none" w:sz="0" w:space="0" w:color="auto"/>
        <w:left w:val="none" w:sz="0" w:space="0" w:color="auto"/>
        <w:bottom w:val="none" w:sz="0" w:space="0" w:color="auto"/>
        <w:right w:val="none" w:sz="0" w:space="0" w:color="auto"/>
      </w:divBdr>
    </w:div>
    <w:div w:id="1903834483">
      <w:bodyDiv w:val="1"/>
      <w:marLeft w:val="0"/>
      <w:marRight w:val="0"/>
      <w:marTop w:val="0"/>
      <w:marBottom w:val="0"/>
      <w:divBdr>
        <w:top w:val="none" w:sz="0" w:space="0" w:color="auto"/>
        <w:left w:val="none" w:sz="0" w:space="0" w:color="auto"/>
        <w:bottom w:val="none" w:sz="0" w:space="0" w:color="auto"/>
        <w:right w:val="none" w:sz="0" w:space="0" w:color="auto"/>
      </w:divBdr>
    </w:div>
    <w:div w:id="1913007898">
      <w:bodyDiv w:val="1"/>
      <w:marLeft w:val="0"/>
      <w:marRight w:val="0"/>
      <w:marTop w:val="0"/>
      <w:marBottom w:val="0"/>
      <w:divBdr>
        <w:top w:val="none" w:sz="0" w:space="0" w:color="auto"/>
        <w:left w:val="none" w:sz="0" w:space="0" w:color="auto"/>
        <w:bottom w:val="none" w:sz="0" w:space="0" w:color="auto"/>
        <w:right w:val="none" w:sz="0" w:space="0" w:color="auto"/>
      </w:divBdr>
    </w:div>
    <w:div w:id="2140342312">
      <w:bodyDiv w:val="1"/>
      <w:marLeft w:val="0"/>
      <w:marRight w:val="0"/>
      <w:marTop w:val="0"/>
      <w:marBottom w:val="0"/>
      <w:divBdr>
        <w:top w:val="none" w:sz="0" w:space="0" w:color="auto"/>
        <w:left w:val="none" w:sz="0" w:space="0" w:color="auto"/>
        <w:bottom w:val="none" w:sz="0" w:space="0" w:color="auto"/>
        <w:right w:val="none" w:sz="0" w:space="0" w:color="auto"/>
      </w:divBdr>
      <w:divsChild>
        <w:div w:id="1393457787">
          <w:marLeft w:val="0"/>
          <w:marRight w:val="0"/>
          <w:marTop w:val="0"/>
          <w:marBottom w:val="0"/>
          <w:divBdr>
            <w:top w:val="none" w:sz="0" w:space="0" w:color="auto"/>
            <w:left w:val="none" w:sz="0" w:space="0" w:color="auto"/>
            <w:bottom w:val="none" w:sz="0" w:space="0" w:color="auto"/>
            <w:right w:val="none" w:sz="0" w:space="0" w:color="auto"/>
          </w:divBdr>
          <w:divsChild>
            <w:div w:id="2122802859">
              <w:marLeft w:val="0"/>
              <w:marRight w:val="0"/>
              <w:marTop w:val="0"/>
              <w:marBottom w:val="0"/>
              <w:divBdr>
                <w:top w:val="dashed" w:sz="2" w:space="0" w:color="FFFFFF"/>
                <w:left w:val="dashed" w:sz="2" w:space="0" w:color="FFFFFF"/>
                <w:bottom w:val="dashed" w:sz="2" w:space="0" w:color="FFFFFF"/>
                <w:right w:val="dashed" w:sz="2" w:space="0" w:color="FFFFFF"/>
              </w:divBdr>
              <w:divsChild>
                <w:div w:id="1639341773">
                  <w:marLeft w:val="0"/>
                  <w:marRight w:val="0"/>
                  <w:marTop w:val="0"/>
                  <w:marBottom w:val="0"/>
                  <w:divBdr>
                    <w:top w:val="dashed" w:sz="2" w:space="0" w:color="FFFFFF"/>
                    <w:left w:val="dashed" w:sz="2" w:space="0" w:color="FFFFFF"/>
                    <w:bottom w:val="dashed" w:sz="2" w:space="0" w:color="FFFFFF"/>
                    <w:right w:val="dashed" w:sz="2" w:space="0" w:color="FFFFFF"/>
                  </w:divBdr>
                  <w:divsChild>
                    <w:div w:id="901061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6414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592F9-3DB9-4FEF-827E-06757189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26</Pages>
  <Words>10682</Words>
  <Characters>61960</Characters>
  <Application>Microsoft Office Word</Application>
  <DocSecurity>0</DocSecurity>
  <Lines>516</Lines>
  <Paragraphs>144</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AFM</Company>
  <LinksUpToDate>false</LinksUpToDate>
  <CharactersWithSpaces>72498</CharactersWithSpaces>
  <SharedDoc>false</SharedDoc>
  <HLinks>
    <vt:vector size="18" baseType="variant">
      <vt:variant>
        <vt:i4>6815842</vt:i4>
      </vt:variant>
      <vt:variant>
        <vt:i4>6</vt:i4>
      </vt:variant>
      <vt:variant>
        <vt:i4>0</vt:i4>
      </vt:variant>
      <vt:variant>
        <vt:i4>5</vt:i4>
      </vt:variant>
      <vt:variant>
        <vt:lpwstr>http://www.mmediu.ro/beta/wp-content/uploads/2013/Local Settings/Temporary Internet Files/Content.Outlook/Local Settings/Temporary Internet Files/Local Settings/Temporary Internet Files/Content.Outlook/Local Settings/Temporary Internet Files/Content.IE5/Local Settings/Temporary Internet Files/Local Settings/Temporary Internet Files/Local Settings/Temporary Internet Files/Content.IE5/Local Settings/Temporary Internet Files/Content.IE5/AppData/Local/Microsoft/Windows/Temp/AppData/Local/Users/L.Hristodorescu/AppData/Local/Microsoft/Windows/Temporary Internet Files/Sintact 2.0/cache/Legislatie/temp/00089045.htm</vt:lpwstr>
      </vt:variant>
      <vt:variant>
        <vt:lpwstr/>
      </vt:variant>
      <vt:variant>
        <vt:i4>720990</vt:i4>
      </vt:variant>
      <vt:variant>
        <vt:i4>3</vt:i4>
      </vt:variant>
      <vt:variant>
        <vt:i4>0</vt:i4>
      </vt:variant>
      <vt:variant>
        <vt:i4>5</vt:i4>
      </vt:variant>
      <vt:variant>
        <vt:lpwstr>http://www.mmediu.ro/</vt:lpwstr>
      </vt:variant>
      <vt:variant>
        <vt:lpwstr/>
      </vt:variant>
      <vt:variant>
        <vt:i4>6815842</vt:i4>
      </vt:variant>
      <vt:variant>
        <vt:i4>0</vt:i4>
      </vt:variant>
      <vt:variant>
        <vt:i4>0</vt:i4>
      </vt:variant>
      <vt:variant>
        <vt:i4>5</vt:i4>
      </vt:variant>
      <vt:variant>
        <vt:lpwstr>http://www.mmediu.ro/beta/wp-content/uploads/2013/Local Settings/Temporary Internet Files/Content.Outlook/Local Settings/Temporary Internet Files/Local Settings/Temporary Internet Files/Content.Outlook/Local Settings/Temporary Internet Files/Content.IE5/Local Settings/Temporary Internet Files/Local Settings/Temporary Internet Files/Local Settings/Temporary Internet Files/Content.IE5/Local Settings/Temporary Internet Files/Content.IE5/AppData/Local/Microsoft/Windows/Temp/AppData/Local/Users/L.Hristodorescu/AppData/Local/Microsoft/Windows/Temporary Internet Files/Sintact 2.0/cache/Legislatie/temp/00089045.htm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Venituri</dc:creator>
  <cp:lastModifiedBy>reli</cp:lastModifiedBy>
  <cp:revision>343</cp:revision>
  <cp:lastPrinted>2018-02-12T17:01:00Z</cp:lastPrinted>
  <dcterms:created xsi:type="dcterms:W3CDTF">2018-07-17T06:59:00Z</dcterms:created>
  <dcterms:modified xsi:type="dcterms:W3CDTF">2018-07-18T09:23:00Z</dcterms:modified>
</cp:coreProperties>
</file>