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6BE0" w14:textId="621D352B" w:rsidR="00677B3F" w:rsidRDefault="00677B3F" w:rsidP="00677B3F">
      <w:pPr>
        <w:jc w:val="center"/>
        <w:outlineLvl w:val="0"/>
        <w:rPr>
          <w:rFonts w:ascii="Times New Roman" w:hAnsi="Times New Roman"/>
          <w:b/>
          <w:sz w:val="24"/>
          <w:szCs w:val="24"/>
          <w:lang w:val="ro-RO"/>
        </w:rPr>
      </w:pPr>
      <w:r w:rsidRPr="00BA72AD">
        <w:rPr>
          <w:rFonts w:ascii="Times New Roman" w:hAnsi="Times New Roman"/>
          <w:b/>
          <w:sz w:val="24"/>
          <w:szCs w:val="24"/>
          <w:lang w:val="ro-RO"/>
        </w:rPr>
        <w:t>NOTĂ DE FUNDAMENTARE</w:t>
      </w:r>
    </w:p>
    <w:p w14:paraId="158DA7BD" w14:textId="77777777" w:rsidR="005A1088" w:rsidRPr="00BA72AD" w:rsidRDefault="005A1088" w:rsidP="00677B3F">
      <w:pPr>
        <w:jc w:val="center"/>
        <w:outlineLvl w:val="0"/>
        <w:rPr>
          <w:rFonts w:ascii="Times New Roman" w:hAnsi="Times New Roman"/>
          <w:b/>
          <w:sz w:val="24"/>
          <w:szCs w:val="24"/>
          <w:lang w:val="ro-RO"/>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015"/>
      </w:tblGrid>
      <w:tr w:rsidR="00677B3F" w:rsidRPr="00BA72AD" w14:paraId="0AE5782B" w14:textId="77777777" w:rsidTr="005906F6">
        <w:trPr>
          <w:trHeight w:val="274"/>
        </w:trPr>
        <w:tc>
          <w:tcPr>
            <w:tcW w:w="10435" w:type="dxa"/>
            <w:gridSpan w:val="11"/>
          </w:tcPr>
          <w:p w14:paraId="05DBDD14" w14:textId="77777777" w:rsidR="00677B3F" w:rsidRDefault="00677B3F" w:rsidP="007F3E69">
            <w:pPr>
              <w:spacing w:after="120" w:line="240" w:lineRule="auto"/>
              <w:jc w:val="center"/>
              <w:rPr>
                <w:rFonts w:ascii="Times New Roman" w:hAnsi="Times New Roman"/>
                <w:b/>
                <w:sz w:val="24"/>
                <w:szCs w:val="24"/>
                <w:lang w:val="ro-RO"/>
              </w:rPr>
            </w:pPr>
          </w:p>
          <w:p w14:paraId="28DB94BA" w14:textId="77A72401" w:rsidR="00677B3F" w:rsidRPr="00BA72AD" w:rsidRDefault="00677B3F" w:rsidP="005A1088">
            <w:pPr>
              <w:spacing w:after="120" w:line="240" w:lineRule="auto"/>
              <w:jc w:val="center"/>
              <w:rPr>
                <w:rFonts w:ascii="Times New Roman" w:hAnsi="Times New Roman"/>
                <w:b/>
                <w:sz w:val="24"/>
                <w:szCs w:val="24"/>
                <w:lang w:val="ro-RO"/>
              </w:rPr>
            </w:pPr>
            <w:r w:rsidRPr="00BA72AD">
              <w:rPr>
                <w:rFonts w:ascii="Times New Roman" w:hAnsi="Times New Roman"/>
                <w:b/>
                <w:sz w:val="24"/>
                <w:szCs w:val="24"/>
                <w:lang w:val="ro-RO"/>
              </w:rPr>
              <w:t>Secţiunea 1: Titlul proiectului de act normativ</w:t>
            </w:r>
          </w:p>
        </w:tc>
      </w:tr>
      <w:tr w:rsidR="00677B3F" w:rsidRPr="00BA72AD" w14:paraId="5E020CB0" w14:textId="77777777" w:rsidTr="005906F6">
        <w:trPr>
          <w:trHeight w:val="503"/>
        </w:trPr>
        <w:tc>
          <w:tcPr>
            <w:tcW w:w="10435" w:type="dxa"/>
            <w:gridSpan w:val="11"/>
          </w:tcPr>
          <w:p w14:paraId="203FBFDF" w14:textId="77777777" w:rsidR="00677B3F" w:rsidRPr="00A31F1C" w:rsidRDefault="00677B3F" w:rsidP="007F3E69">
            <w:pPr>
              <w:spacing w:after="120" w:line="240" w:lineRule="auto"/>
              <w:jc w:val="center"/>
              <w:rPr>
                <w:rFonts w:ascii="Times New Roman" w:hAnsi="Times New Roman"/>
                <w:b/>
                <w:sz w:val="24"/>
                <w:szCs w:val="24"/>
                <w:lang w:val="ro-RO"/>
              </w:rPr>
            </w:pPr>
          </w:p>
          <w:p w14:paraId="48B094F8" w14:textId="77777777" w:rsidR="00677B3F" w:rsidRDefault="00677B3F" w:rsidP="007F3E69">
            <w:pPr>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HOTĂRÂRE A GUVERNULUI</w:t>
            </w:r>
          </w:p>
          <w:p w14:paraId="394FC875" w14:textId="77777777" w:rsidR="00677B3F" w:rsidRPr="00A31F1C" w:rsidRDefault="00677B3F" w:rsidP="007F3E69">
            <w:pPr>
              <w:spacing w:after="120" w:line="240" w:lineRule="auto"/>
              <w:jc w:val="center"/>
              <w:rPr>
                <w:rFonts w:ascii="Times New Roman" w:hAnsi="Times New Roman"/>
                <w:b/>
                <w:sz w:val="24"/>
                <w:szCs w:val="24"/>
                <w:lang w:val="ro-RO"/>
              </w:rPr>
            </w:pPr>
          </w:p>
          <w:p w14:paraId="44CA0C97" w14:textId="169C9452" w:rsidR="00677B3F" w:rsidRPr="00A31F1C" w:rsidRDefault="00677B3F" w:rsidP="007F3E69">
            <w:pPr>
              <w:spacing w:after="120" w:line="240" w:lineRule="auto"/>
              <w:jc w:val="center"/>
              <w:rPr>
                <w:b/>
              </w:rPr>
            </w:pPr>
            <w:r w:rsidRPr="00A31F1C">
              <w:t xml:space="preserve">    </w:t>
            </w:r>
            <w:r w:rsidRPr="00A31F1C">
              <w:rPr>
                <w:rFonts w:ascii="Times New Roman" w:hAnsi="Times New Roman"/>
                <w:b/>
              </w:rPr>
              <w:t>pentru modificarea Hotărârii Guvernului nr. 221/2020 privind aprobarea ocupării temporare a terenului în suprafaţă de 16,8810 ha, din fondul forestier naţional, de către Societatea Națională de Transport Gaze Naturale ”Transgaz” SA Mediaș, pentru proiectul de importanță națională în domeniul gazelor naturale „Conductă de transport gaze naturale DN 250 Pojorâta – Vatra Dornei”</w:t>
            </w:r>
          </w:p>
          <w:p w14:paraId="1651DFC4" w14:textId="77777777" w:rsidR="00677B3F" w:rsidRPr="00A31F1C" w:rsidRDefault="00677B3F" w:rsidP="005906F6">
            <w:pPr>
              <w:jc w:val="center"/>
              <w:rPr>
                <w:rFonts w:ascii="Times New Roman" w:eastAsia="Times New Roman" w:hAnsi="Times New Roman"/>
                <w:b/>
                <w:bCs/>
                <w:sz w:val="24"/>
                <w:szCs w:val="24"/>
                <w:lang w:val="ro-RO"/>
              </w:rPr>
            </w:pPr>
          </w:p>
        </w:tc>
      </w:tr>
      <w:tr w:rsidR="00677B3F" w:rsidRPr="00BA72AD" w14:paraId="47CBFFAB" w14:textId="77777777" w:rsidTr="005906F6">
        <w:trPr>
          <w:trHeight w:val="723"/>
        </w:trPr>
        <w:tc>
          <w:tcPr>
            <w:tcW w:w="10435" w:type="dxa"/>
            <w:gridSpan w:val="11"/>
          </w:tcPr>
          <w:p w14:paraId="0FAD9568" w14:textId="77777777" w:rsidR="00677B3F" w:rsidRPr="00A31F1C" w:rsidRDefault="00677B3F" w:rsidP="005906F6">
            <w:pPr>
              <w:jc w:val="center"/>
              <w:rPr>
                <w:rFonts w:ascii="Times New Roman" w:hAnsi="Times New Roman"/>
                <w:b/>
                <w:sz w:val="24"/>
                <w:szCs w:val="24"/>
                <w:lang w:val="ro-RO"/>
              </w:rPr>
            </w:pPr>
          </w:p>
          <w:p w14:paraId="1149659D" w14:textId="77777777" w:rsidR="00677B3F" w:rsidRPr="00A31F1C" w:rsidRDefault="00677B3F" w:rsidP="005906F6">
            <w:pPr>
              <w:jc w:val="center"/>
              <w:rPr>
                <w:rFonts w:ascii="Times New Roman" w:hAnsi="Times New Roman"/>
                <w:b/>
                <w:sz w:val="24"/>
                <w:szCs w:val="24"/>
                <w:lang w:val="ro-RO"/>
              </w:rPr>
            </w:pPr>
            <w:r w:rsidRPr="00A31F1C">
              <w:rPr>
                <w:rFonts w:ascii="Times New Roman" w:hAnsi="Times New Roman"/>
                <w:b/>
                <w:sz w:val="24"/>
                <w:szCs w:val="24"/>
                <w:lang w:val="ro-RO"/>
              </w:rPr>
              <w:t>Secţiunea a 2-a: Motivul emiterii actului normativ</w:t>
            </w:r>
          </w:p>
        </w:tc>
      </w:tr>
      <w:tr w:rsidR="00677B3F" w:rsidRPr="00BA72AD" w14:paraId="05DED336" w14:textId="77777777" w:rsidTr="005906F6">
        <w:trPr>
          <w:trHeight w:val="503"/>
        </w:trPr>
        <w:tc>
          <w:tcPr>
            <w:tcW w:w="2683" w:type="dxa"/>
            <w:gridSpan w:val="2"/>
          </w:tcPr>
          <w:p w14:paraId="781C0F78" w14:textId="77777777" w:rsidR="00677B3F" w:rsidRPr="00A31F1C" w:rsidRDefault="00677B3F" w:rsidP="005906F6">
            <w:pPr>
              <w:rPr>
                <w:rFonts w:ascii="Times New Roman" w:hAnsi="Times New Roman"/>
                <w:b/>
                <w:sz w:val="24"/>
                <w:szCs w:val="24"/>
                <w:lang w:val="ro-RO"/>
              </w:rPr>
            </w:pPr>
            <w:r w:rsidRPr="00A31F1C">
              <w:rPr>
                <w:rFonts w:ascii="Times New Roman" w:hAnsi="Times New Roman"/>
                <w:sz w:val="24"/>
                <w:szCs w:val="24"/>
                <w:lang w:val="ro-RO"/>
              </w:rPr>
              <w:t>1. Descrierea situaţiei actuale</w:t>
            </w:r>
          </w:p>
        </w:tc>
        <w:tc>
          <w:tcPr>
            <w:tcW w:w="7752" w:type="dxa"/>
            <w:gridSpan w:val="9"/>
          </w:tcPr>
          <w:p w14:paraId="678A7251" w14:textId="328F4DFB" w:rsidR="00677B3F" w:rsidRPr="001D705D" w:rsidRDefault="00677B3F" w:rsidP="00B54701">
            <w:pPr>
              <w:spacing w:after="120" w:line="240" w:lineRule="auto"/>
              <w:ind w:firstLine="432"/>
              <w:rPr>
                <w:rFonts w:ascii="Times New Roman" w:hAnsi="Times New Roman"/>
                <w:sz w:val="24"/>
                <w:szCs w:val="24"/>
              </w:rPr>
            </w:pPr>
            <w:r w:rsidRPr="001D705D">
              <w:rPr>
                <w:rFonts w:ascii="Times New Roman" w:hAnsi="Times New Roman"/>
                <w:sz w:val="24"/>
                <w:szCs w:val="24"/>
              </w:rPr>
              <w:t xml:space="preserve">Societatea Națională de Transport Gaze Naturale ”Transgaz” SA Mediaș a solicitat și a obținut </w:t>
            </w:r>
            <w:r w:rsidR="000741C1">
              <w:rPr>
                <w:rFonts w:ascii="Times New Roman" w:hAnsi="Times New Roman"/>
                <w:sz w:val="24"/>
                <w:szCs w:val="24"/>
              </w:rPr>
              <w:t>prin</w:t>
            </w:r>
            <w:r w:rsidRPr="001D705D">
              <w:rPr>
                <w:rFonts w:ascii="Times New Roman" w:hAnsi="Times New Roman"/>
                <w:sz w:val="24"/>
                <w:szCs w:val="24"/>
              </w:rPr>
              <w:t xml:space="preserve"> H</w:t>
            </w:r>
            <w:r w:rsidR="000741C1">
              <w:rPr>
                <w:rFonts w:ascii="Times New Roman" w:hAnsi="Times New Roman"/>
                <w:sz w:val="24"/>
                <w:szCs w:val="24"/>
              </w:rPr>
              <w:t xml:space="preserve">otărârea </w:t>
            </w:r>
            <w:r w:rsidRPr="001D705D">
              <w:rPr>
                <w:rFonts w:ascii="Times New Roman" w:hAnsi="Times New Roman"/>
                <w:sz w:val="24"/>
                <w:szCs w:val="24"/>
              </w:rPr>
              <w:t>G</w:t>
            </w:r>
            <w:r w:rsidR="000741C1">
              <w:rPr>
                <w:rFonts w:ascii="Times New Roman" w:hAnsi="Times New Roman"/>
                <w:sz w:val="24"/>
                <w:szCs w:val="24"/>
              </w:rPr>
              <w:t>uvernului</w:t>
            </w:r>
            <w:r w:rsidRPr="001D705D">
              <w:rPr>
                <w:rFonts w:ascii="Times New Roman" w:hAnsi="Times New Roman"/>
                <w:sz w:val="24"/>
                <w:szCs w:val="24"/>
              </w:rPr>
              <w:t xml:space="preserve"> nr. 221/18.03.2020 aprobare pentru ocuparea temporară a terenului forestier în suprafaţă de 16,8810 ha, pentru realizarea proiectului de importanță națională în domeniul gazelor naturale „Conductă de transport gaze naturale DN 250 Pojorâta – Vatra Dornei”.</w:t>
            </w:r>
          </w:p>
          <w:p w14:paraId="455073DA" w14:textId="75395129" w:rsidR="00677B3F" w:rsidRPr="001D705D" w:rsidRDefault="00677B3F" w:rsidP="00B54701">
            <w:pPr>
              <w:spacing w:after="120" w:line="240" w:lineRule="auto"/>
              <w:ind w:firstLine="432"/>
              <w:rPr>
                <w:rFonts w:ascii="Times New Roman" w:hAnsi="Times New Roman"/>
                <w:sz w:val="24"/>
                <w:szCs w:val="24"/>
              </w:rPr>
            </w:pPr>
            <w:r w:rsidRPr="001D705D">
              <w:rPr>
                <w:rFonts w:ascii="Times New Roman" w:hAnsi="Times New Roman"/>
                <w:sz w:val="24"/>
                <w:szCs w:val="24"/>
              </w:rPr>
              <w:t>După aprob</w:t>
            </w:r>
            <w:r w:rsidR="000741C1">
              <w:rPr>
                <w:rFonts w:ascii="Times New Roman" w:hAnsi="Times New Roman"/>
                <w:sz w:val="24"/>
                <w:szCs w:val="24"/>
              </w:rPr>
              <w:t>a</w:t>
            </w:r>
            <w:r w:rsidRPr="001D705D">
              <w:rPr>
                <w:rFonts w:ascii="Times New Roman" w:hAnsi="Times New Roman"/>
                <w:sz w:val="24"/>
                <w:szCs w:val="24"/>
              </w:rPr>
              <w:t>r</w:t>
            </w:r>
            <w:r w:rsidR="000741C1">
              <w:rPr>
                <w:rFonts w:ascii="Times New Roman" w:hAnsi="Times New Roman"/>
                <w:sz w:val="24"/>
                <w:szCs w:val="24"/>
              </w:rPr>
              <w:t>ea</w:t>
            </w:r>
            <w:r w:rsidRPr="001D705D">
              <w:rPr>
                <w:rFonts w:ascii="Times New Roman" w:hAnsi="Times New Roman"/>
                <w:sz w:val="24"/>
                <w:szCs w:val="24"/>
              </w:rPr>
              <w:t xml:space="preserve"> ocup</w:t>
            </w:r>
            <w:r w:rsidR="000741C1">
              <w:rPr>
                <w:rFonts w:ascii="Times New Roman" w:hAnsi="Times New Roman"/>
                <w:sz w:val="24"/>
                <w:szCs w:val="24"/>
              </w:rPr>
              <w:t>ă</w:t>
            </w:r>
            <w:r w:rsidRPr="001D705D">
              <w:rPr>
                <w:rFonts w:ascii="Times New Roman" w:hAnsi="Times New Roman"/>
                <w:sz w:val="24"/>
                <w:szCs w:val="24"/>
              </w:rPr>
              <w:t>r</w:t>
            </w:r>
            <w:r w:rsidR="000741C1">
              <w:rPr>
                <w:rFonts w:ascii="Times New Roman" w:hAnsi="Times New Roman"/>
                <w:sz w:val="24"/>
                <w:szCs w:val="24"/>
              </w:rPr>
              <w:t>ii</w:t>
            </w:r>
            <w:r w:rsidRPr="001D705D">
              <w:rPr>
                <w:rFonts w:ascii="Times New Roman" w:hAnsi="Times New Roman"/>
                <w:sz w:val="24"/>
                <w:szCs w:val="24"/>
              </w:rPr>
              <w:t xml:space="preserve"> temporar</w:t>
            </w:r>
            <w:r w:rsidR="005A1088">
              <w:rPr>
                <w:rFonts w:ascii="Times New Roman" w:hAnsi="Times New Roman"/>
                <w:sz w:val="24"/>
                <w:szCs w:val="24"/>
              </w:rPr>
              <w:t>e</w:t>
            </w:r>
            <w:r w:rsidRPr="001D705D">
              <w:rPr>
                <w:rFonts w:ascii="Times New Roman" w:hAnsi="Times New Roman"/>
                <w:sz w:val="24"/>
                <w:szCs w:val="24"/>
              </w:rPr>
              <w:t xml:space="preserve"> s-a constatat că traseul conductei are porțiuni localizate pe un teren stâncos în pantă cu înclinație cuprinsă între 300 și 600 care necesită lucrări complexe de piconare și dinamitare, fapt care implică crearea pericolului destabilizării versantului ceea ce ar face extrem de dificile lucrările de montaj: realizarea firului linear, montajul acestuia și mentenanța pe perioada de exploatare.</w:t>
            </w:r>
          </w:p>
          <w:p w14:paraId="3A7957A6" w14:textId="26C725C2" w:rsidR="00677B3F" w:rsidRPr="001D705D" w:rsidRDefault="005A1088" w:rsidP="00B54701">
            <w:pPr>
              <w:spacing w:after="120" w:line="240" w:lineRule="auto"/>
              <w:ind w:firstLine="432"/>
              <w:rPr>
                <w:rFonts w:ascii="Times New Roman" w:hAnsi="Times New Roman"/>
                <w:sz w:val="24"/>
                <w:szCs w:val="24"/>
              </w:rPr>
            </w:pPr>
            <w:r>
              <w:rPr>
                <w:rFonts w:ascii="Times New Roman" w:hAnsi="Times New Roman"/>
                <w:sz w:val="24"/>
                <w:szCs w:val="24"/>
              </w:rPr>
              <w:t>Î</w:t>
            </w:r>
            <w:r w:rsidR="00677B3F" w:rsidRPr="001D705D">
              <w:rPr>
                <w:rFonts w:ascii="Times New Roman" w:hAnsi="Times New Roman"/>
                <w:sz w:val="24"/>
                <w:szCs w:val="24"/>
              </w:rPr>
              <w:t>n aceste condiții Societatea Națională de Transport Gaze Naturale ”Transgaz” SA Mediaș solicită modificarea amplasamentului terenului necesar pentru realizarea obiectivului „Conductă de transport gaze naturale DN 250 Pojorâta – Vatra Dornei” pentru care s-a obținut aprobare</w:t>
            </w:r>
            <w:r w:rsidR="006F083E">
              <w:rPr>
                <w:rFonts w:ascii="Times New Roman" w:hAnsi="Times New Roman"/>
                <w:sz w:val="24"/>
                <w:szCs w:val="24"/>
              </w:rPr>
              <w:t>a</w:t>
            </w:r>
            <w:r w:rsidR="00677B3F" w:rsidRPr="001D705D">
              <w:rPr>
                <w:rFonts w:ascii="Times New Roman" w:hAnsi="Times New Roman"/>
                <w:sz w:val="24"/>
                <w:szCs w:val="24"/>
              </w:rPr>
              <w:t xml:space="preserve"> ocup</w:t>
            </w:r>
            <w:r w:rsidR="006F083E">
              <w:rPr>
                <w:rFonts w:ascii="Times New Roman" w:hAnsi="Times New Roman"/>
                <w:sz w:val="24"/>
                <w:szCs w:val="24"/>
                <w:lang w:val="ro-RO"/>
              </w:rPr>
              <w:t>ării</w:t>
            </w:r>
            <w:r w:rsidR="00677B3F" w:rsidRPr="001D705D">
              <w:rPr>
                <w:rFonts w:ascii="Times New Roman" w:hAnsi="Times New Roman"/>
                <w:sz w:val="24"/>
                <w:szCs w:val="24"/>
              </w:rPr>
              <w:t xml:space="preserve"> temporar</w:t>
            </w:r>
            <w:r w:rsidR="006F083E">
              <w:rPr>
                <w:rFonts w:ascii="Times New Roman" w:hAnsi="Times New Roman"/>
                <w:sz w:val="24"/>
                <w:szCs w:val="24"/>
              </w:rPr>
              <w:t>e</w:t>
            </w:r>
            <w:r w:rsidR="00677B3F" w:rsidRPr="001D705D">
              <w:rPr>
                <w:rFonts w:ascii="Times New Roman" w:hAnsi="Times New Roman"/>
                <w:sz w:val="24"/>
                <w:szCs w:val="24"/>
              </w:rPr>
              <w:t xml:space="preserve"> </w:t>
            </w:r>
            <w:r>
              <w:rPr>
                <w:rFonts w:ascii="Times New Roman" w:hAnsi="Times New Roman"/>
                <w:sz w:val="24"/>
                <w:szCs w:val="24"/>
              </w:rPr>
              <w:t>prin</w:t>
            </w:r>
            <w:r w:rsidR="00677B3F" w:rsidRPr="001D705D">
              <w:rPr>
                <w:rFonts w:ascii="Times New Roman" w:hAnsi="Times New Roman"/>
                <w:sz w:val="24"/>
                <w:szCs w:val="24"/>
              </w:rPr>
              <w:t xml:space="preserve"> H</w:t>
            </w:r>
            <w:r>
              <w:rPr>
                <w:rFonts w:ascii="Times New Roman" w:hAnsi="Times New Roman"/>
                <w:sz w:val="24"/>
                <w:szCs w:val="24"/>
              </w:rPr>
              <w:t xml:space="preserve">otărârea </w:t>
            </w:r>
            <w:r w:rsidR="00677B3F" w:rsidRPr="001D705D">
              <w:rPr>
                <w:rFonts w:ascii="Times New Roman" w:hAnsi="Times New Roman"/>
                <w:sz w:val="24"/>
                <w:szCs w:val="24"/>
              </w:rPr>
              <w:t>G</w:t>
            </w:r>
            <w:r>
              <w:rPr>
                <w:rFonts w:ascii="Times New Roman" w:hAnsi="Times New Roman"/>
                <w:sz w:val="24"/>
                <w:szCs w:val="24"/>
              </w:rPr>
              <w:t>uvernului</w:t>
            </w:r>
            <w:r w:rsidR="00677B3F" w:rsidRPr="001D705D">
              <w:rPr>
                <w:rFonts w:ascii="Times New Roman" w:hAnsi="Times New Roman"/>
                <w:sz w:val="24"/>
                <w:szCs w:val="24"/>
              </w:rPr>
              <w:t xml:space="preserve"> nr. 221/2020.</w:t>
            </w:r>
          </w:p>
          <w:p w14:paraId="5C2452E5" w14:textId="078AECB2" w:rsidR="00677B3F" w:rsidRPr="001D705D" w:rsidRDefault="00677B3F" w:rsidP="00B54701">
            <w:pPr>
              <w:spacing w:after="120" w:line="240" w:lineRule="auto"/>
              <w:ind w:firstLine="432"/>
              <w:rPr>
                <w:rFonts w:ascii="Times New Roman" w:hAnsi="Times New Roman"/>
                <w:sz w:val="24"/>
                <w:szCs w:val="24"/>
              </w:rPr>
            </w:pPr>
            <w:r w:rsidRPr="001D705D">
              <w:rPr>
                <w:rFonts w:ascii="Times New Roman" w:hAnsi="Times New Roman"/>
                <w:sz w:val="24"/>
                <w:szCs w:val="24"/>
              </w:rPr>
              <w:t xml:space="preserve">Prin Legea nr. 185/2016 privind unele măsuri pentru implementarea proiectelor de importanță națională, în domeniul gazelor naturale, au fost stabilite măsurile necesare pentru implementarea proiectelor de importanţă naţională în domeniul gazelor naturale. Proiectele de importanţă naţională în domeniul gazelor naturale, includ potrivit art. 2 alin. (1) lit. m) din </w:t>
            </w:r>
            <w:r w:rsidR="005A1088">
              <w:rPr>
                <w:rFonts w:ascii="Times New Roman" w:hAnsi="Times New Roman"/>
                <w:sz w:val="24"/>
                <w:szCs w:val="24"/>
              </w:rPr>
              <w:t>L</w:t>
            </w:r>
            <w:r w:rsidRPr="001D705D">
              <w:rPr>
                <w:rFonts w:ascii="Times New Roman" w:hAnsi="Times New Roman"/>
                <w:sz w:val="24"/>
                <w:szCs w:val="24"/>
              </w:rPr>
              <w:t>ege</w:t>
            </w:r>
            <w:r w:rsidR="005A1088">
              <w:rPr>
                <w:rFonts w:ascii="Times New Roman" w:hAnsi="Times New Roman"/>
                <w:sz w:val="24"/>
                <w:szCs w:val="24"/>
              </w:rPr>
              <w:t>a nr. 185/2016</w:t>
            </w:r>
            <w:r w:rsidRPr="001D705D">
              <w:rPr>
                <w:rFonts w:ascii="Times New Roman" w:hAnsi="Times New Roman"/>
                <w:sz w:val="24"/>
                <w:szCs w:val="24"/>
              </w:rPr>
              <w:t xml:space="preserve"> proiectele în domeniul gazelor naturale declarate ca fiind de importanţă naţională prin hotărâre a Guvernului, precum şi proiectele de interes comun în domeniul gazelor naturale, stabilite prin regulamente europene.</w:t>
            </w:r>
          </w:p>
          <w:p w14:paraId="788D01FD" w14:textId="4B8D927E" w:rsidR="00677B3F" w:rsidRPr="001D705D" w:rsidRDefault="005A1088" w:rsidP="00B54701">
            <w:pPr>
              <w:spacing w:after="120" w:line="240" w:lineRule="auto"/>
              <w:ind w:firstLine="432"/>
              <w:rPr>
                <w:rFonts w:ascii="Times New Roman" w:hAnsi="Times New Roman"/>
                <w:sz w:val="24"/>
                <w:szCs w:val="24"/>
              </w:rPr>
            </w:pPr>
            <w:r>
              <w:rPr>
                <w:rFonts w:ascii="Times New Roman" w:hAnsi="Times New Roman"/>
                <w:sz w:val="24"/>
                <w:szCs w:val="24"/>
              </w:rPr>
              <w:lastRenderedPageBreak/>
              <w:t>Prin</w:t>
            </w:r>
            <w:r w:rsidR="00677B3F" w:rsidRPr="001D705D">
              <w:rPr>
                <w:rFonts w:ascii="Times New Roman" w:hAnsi="Times New Roman"/>
                <w:sz w:val="24"/>
                <w:szCs w:val="24"/>
              </w:rPr>
              <w:t xml:space="preserve"> Hotărârea Guvern</w:t>
            </w:r>
            <w:r>
              <w:rPr>
                <w:rFonts w:ascii="Times New Roman" w:hAnsi="Times New Roman"/>
                <w:sz w:val="24"/>
                <w:szCs w:val="24"/>
              </w:rPr>
              <w:t>ului</w:t>
            </w:r>
            <w:r w:rsidR="00677B3F" w:rsidRPr="001D705D">
              <w:rPr>
                <w:rFonts w:ascii="Times New Roman" w:hAnsi="Times New Roman"/>
                <w:sz w:val="24"/>
                <w:szCs w:val="24"/>
              </w:rPr>
              <w:t xml:space="preserve"> nr. 465/2019, obiectivul „Conducta de transport gaze naturale DN 250 Pojorâta-Vatra Dornei“ a fost declarat proiect de importanță națională în domeniul gazelor naturale. </w:t>
            </w:r>
          </w:p>
          <w:p w14:paraId="54924F34" w14:textId="77777777" w:rsidR="00677B3F" w:rsidRPr="001D705D" w:rsidRDefault="00677B3F" w:rsidP="00B54701">
            <w:pPr>
              <w:spacing w:after="120" w:line="240" w:lineRule="auto"/>
              <w:ind w:firstLine="432"/>
              <w:rPr>
                <w:rFonts w:ascii="Times New Roman" w:hAnsi="Times New Roman"/>
                <w:sz w:val="24"/>
                <w:szCs w:val="24"/>
              </w:rPr>
            </w:pPr>
            <w:r w:rsidRPr="001D705D">
              <w:rPr>
                <w:rFonts w:ascii="Times New Roman" w:hAnsi="Times New Roman"/>
                <w:sz w:val="24"/>
                <w:szCs w:val="24"/>
              </w:rPr>
              <w:t xml:space="preserve">În conformitate cu prevederile art. 2 alin. </w:t>
            </w:r>
            <w:r w:rsidRPr="001D705D">
              <w:rPr>
                <w:rFonts w:ascii="Times New Roman" w:hAnsi="Times New Roman"/>
                <w:sz w:val="24"/>
                <w:szCs w:val="24"/>
              </w:rPr>
              <w:softHyphen/>
            </w:r>
            <w:r w:rsidRPr="001D705D">
              <w:rPr>
                <w:rFonts w:ascii="Times New Roman" w:hAnsi="Times New Roman"/>
                <w:sz w:val="24"/>
                <w:szCs w:val="24"/>
              </w:rPr>
              <w:softHyphen/>
              <w:t>(1) lit. g) din Legea nr. 185/2016, inițiatorul proiectului este Societatea Naţională de Transport Gaze Naturale “TRANSGAZ” S.A.</w:t>
            </w:r>
          </w:p>
          <w:p w14:paraId="0BF56751" w14:textId="2CBC6299" w:rsidR="00677B3F" w:rsidRPr="001D705D" w:rsidRDefault="00677B3F" w:rsidP="00B54701">
            <w:pPr>
              <w:spacing w:after="120" w:line="240" w:lineRule="auto"/>
              <w:ind w:firstLine="437"/>
              <w:rPr>
                <w:rFonts w:ascii="Times New Roman" w:hAnsi="Times New Roman"/>
                <w:sz w:val="24"/>
                <w:szCs w:val="24"/>
              </w:rPr>
            </w:pPr>
            <w:r w:rsidRPr="001D705D">
              <w:rPr>
                <w:rFonts w:ascii="Times New Roman" w:hAnsi="Times New Roman"/>
                <w:sz w:val="24"/>
                <w:szCs w:val="24"/>
              </w:rPr>
              <w:t xml:space="preserve">Societatea Naţională de Transport Gaze Naturale “TRANSGAZ” S.A., înfiinţată în baza Hotărârii Guvernului nr. 334/ 2000, este persoană juridică română, aflată sub autoritatea </w:t>
            </w:r>
            <w:r w:rsidR="005A1088">
              <w:rPr>
                <w:rFonts w:ascii="Times New Roman" w:hAnsi="Times New Roman"/>
                <w:sz w:val="24"/>
                <w:szCs w:val="24"/>
              </w:rPr>
              <w:t>Secretariatului General al Guvernului</w:t>
            </w:r>
            <w:r w:rsidRPr="001D705D">
              <w:rPr>
                <w:rFonts w:ascii="Times New Roman" w:hAnsi="Times New Roman"/>
                <w:sz w:val="24"/>
                <w:szCs w:val="24"/>
              </w:rPr>
              <w:t>, având ca scop îndeplinirea strategiei naţionale stabilite pentru transportul, tranzitul internaţional, dispecerizarea gazelor naturale şi cercetarea-proiectarea în domeniul transportului de gaze naturale, fiind  operatorul tehnic al sistemului naţional de transport şi răspunde de funcţionarea acestuia în condiţii de calitate, siguranţă, eficienţa economică şi protecţie a mediului înconjurător cu respectarea legislaţiei române.</w:t>
            </w:r>
          </w:p>
          <w:p w14:paraId="608957B4" w14:textId="5B692721" w:rsidR="00677B3F" w:rsidRPr="001D705D" w:rsidRDefault="00677B3F" w:rsidP="00B54701">
            <w:pPr>
              <w:spacing w:after="120" w:line="240" w:lineRule="auto"/>
              <w:ind w:firstLine="437"/>
              <w:rPr>
                <w:rFonts w:ascii="Times New Roman" w:hAnsi="Times New Roman"/>
                <w:sz w:val="24"/>
                <w:szCs w:val="24"/>
              </w:rPr>
            </w:pPr>
            <w:r w:rsidRPr="001D705D">
              <w:rPr>
                <w:rFonts w:ascii="Times New Roman" w:hAnsi="Times New Roman"/>
                <w:sz w:val="24"/>
                <w:szCs w:val="24"/>
              </w:rPr>
              <w:t>Potrivit prevederilor art. 18 alin. (1) din Legea nr. 185/2016, terenurile forestiere sunt considerate ocupate temporar pe toată durata de execuţie şi existenţă a conductei/conductelor aferente proiectelor de importanţă naţională în domeniul gazelor naturale. Aprobarea pentru ocuparea temporară a terenurilor forestiere se emite pe toată durata de execuţie şi existenţă în fondul forestier naţional a conductei/conductelor aferente proiectelor, prin derogare de la prevederile </w:t>
            </w:r>
            <w:hyperlink r:id="rId8" w:anchor="id_artA334" w:history="1">
              <w:r w:rsidRPr="001D705D">
                <w:rPr>
                  <w:rFonts w:ascii="Times New Roman" w:hAnsi="Times New Roman"/>
                  <w:sz w:val="24"/>
                  <w:szCs w:val="24"/>
                </w:rPr>
                <w:t>art. 39 alin. (2) din Legea nr. 46/2008</w:t>
              </w:r>
            </w:hyperlink>
            <w:r w:rsidRPr="001D705D">
              <w:rPr>
                <w:rFonts w:ascii="Times New Roman" w:hAnsi="Times New Roman"/>
                <w:sz w:val="24"/>
                <w:szCs w:val="24"/>
              </w:rPr>
              <w:t xml:space="preserve">, </w:t>
            </w:r>
            <w:r w:rsidR="005A1088">
              <w:rPr>
                <w:rFonts w:ascii="Times New Roman" w:hAnsi="Times New Roman"/>
                <w:sz w:val="24"/>
                <w:szCs w:val="24"/>
              </w:rPr>
              <w:t xml:space="preserve">privind Codul silvic </w:t>
            </w:r>
            <w:r w:rsidRPr="001D705D">
              <w:rPr>
                <w:rFonts w:ascii="Times New Roman" w:hAnsi="Times New Roman"/>
                <w:sz w:val="24"/>
                <w:szCs w:val="24"/>
              </w:rPr>
              <w:t xml:space="preserve">republicată, cu modificările ulterioare, conform prevederilor art. 18 alin. (2) din </w:t>
            </w:r>
            <w:r w:rsidR="00D64AA8">
              <w:rPr>
                <w:rFonts w:ascii="Times New Roman" w:hAnsi="Times New Roman"/>
                <w:sz w:val="24"/>
                <w:szCs w:val="24"/>
              </w:rPr>
              <w:t>L</w:t>
            </w:r>
            <w:r w:rsidRPr="001D705D">
              <w:rPr>
                <w:rFonts w:ascii="Times New Roman" w:hAnsi="Times New Roman"/>
                <w:sz w:val="24"/>
                <w:szCs w:val="24"/>
              </w:rPr>
              <w:t>ege</w:t>
            </w:r>
            <w:r w:rsidR="00D64AA8">
              <w:rPr>
                <w:rFonts w:ascii="Times New Roman" w:hAnsi="Times New Roman"/>
                <w:sz w:val="24"/>
                <w:szCs w:val="24"/>
              </w:rPr>
              <w:t>a nr. 185/2016</w:t>
            </w:r>
            <w:r w:rsidRPr="001D705D">
              <w:rPr>
                <w:rFonts w:ascii="Times New Roman" w:hAnsi="Times New Roman"/>
                <w:sz w:val="24"/>
                <w:szCs w:val="24"/>
              </w:rPr>
              <w:t>.</w:t>
            </w:r>
          </w:p>
          <w:p w14:paraId="7FA4346D" w14:textId="0399F5C7" w:rsidR="00677B3F" w:rsidRPr="008B4309" w:rsidRDefault="00677B3F" w:rsidP="00B54701">
            <w:pPr>
              <w:spacing w:after="120" w:line="240" w:lineRule="auto"/>
              <w:ind w:firstLine="437"/>
              <w:rPr>
                <w:rStyle w:val="tpa1"/>
                <w:rFonts w:ascii="Times New Roman" w:hAnsi="Times New Roman"/>
                <w:sz w:val="24"/>
                <w:szCs w:val="24"/>
              </w:rPr>
            </w:pPr>
            <w:r w:rsidRPr="008B4309">
              <w:rPr>
                <w:rFonts w:ascii="Times New Roman" w:hAnsi="Times New Roman"/>
                <w:sz w:val="24"/>
                <w:szCs w:val="24"/>
              </w:rPr>
              <w:t xml:space="preserve"> Prin derogare de la prevederile </w:t>
            </w:r>
            <w:hyperlink r:id="rId9" w:anchor="id_artA363" w:history="1">
              <w:r w:rsidRPr="008B4309">
                <w:rPr>
                  <w:rFonts w:ascii="Times New Roman" w:hAnsi="Times New Roman"/>
                  <w:sz w:val="24"/>
                  <w:szCs w:val="24"/>
                </w:rPr>
                <w:t>art. 42 alin. (1) lit. b) și c) din Legea nr. 46/2008</w:t>
              </w:r>
            </w:hyperlink>
            <w:r w:rsidRPr="008B4309">
              <w:rPr>
                <w:rFonts w:ascii="Times New Roman" w:hAnsi="Times New Roman"/>
                <w:sz w:val="24"/>
                <w:szCs w:val="24"/>
              </w:rPr>
              <w:t xml:space="preserve">, republicată, cu modificările și completările ulterioare, ocuparea temporară a terenurilor forestiere prevăzute la art. 1 alin. (3) și (4) se face cu titlu gratuit și fără plata chiriei și contravalorii pierderii de creştere determinate de exploatarea masei lemnoase înainte de vârsta exploatabilităţii tehnice, potrivit art. 3 alin. (1) și (2) din Legea nr. </w:t>
            </w:r>
            <w:r w:rsidRPr="008B4309">
              <w:rPr>
                <w:rStyle w:val="tpa1"/>
                <w:rFonts w:ascii="Times New Roman" w:hAnsi="Times New Roman"/>
                <w:sz w:val="24"/>
                <w:szCs w:val="24"/>
              </w:rPr>
              <w:t>185/2016.</w:t>
            </w:r>
          </w:p>
          <w:p w14:paraId="597C281E" w14:textId="77777777" w:rsidR="00677B3F" w:rsidRPr="008B4309" w:rsidRDefault="00677B3F" w:rsidP="00B54701">
            <w:pPr>
              <w:spacing w:after="120" w:line="240" w:lineRule="auto"/>
              <w:ind w:firstLine="437"/>
              <w:rPr>
                <w:rFonts w:ascii="Times New Roman" w:hAnsi="Times New Roman"/>
                <w:sz w:val="24"/>
                <w:szCs w:val="24"/>
              </w:rPr>
            </w:pPr>
            <w:r w:rsidRPr="008B4309">
              <w:rPr>
                <w:rFonts w:ascii="Times New Roman" w:hAnsi="Times New Roman"/>
                <w:sz w:val="24"/>
                <w:szCs w:val="24"/>
                <w:shd w:val="clear" w:color="auto" w:fill="FFFFFF"/>
              </w:rPr>
              <w:t> </w:t>
            </w:r>
            <w:r w:rsidRPr="008B4309">
              <w:rPr>
                <w:rFonts w:ascii="Times New Roman" w:hAnsi="Times New Roman"/>
                <w:sz w:val="24"/>
                <w:szCs w:val="24"/>
              </w:rPr>
              <w:t>Chiria şi contravaloarea pierderii de creştere determinate de exploatarea masei lemnoase înainte de vârsta exploatabilităţii tehnice, datorate pentru ocuparea temporară a terenurilor forestiere aflate în proprietate privată, se stabilesc potrivit art. 3 alin. (3) și art. 18 alin. (5) din Legea nr. 185/2016.</w:t>
            </w:r>
          </w:p>
          <w:p w14:paraId="0B1BDDBE" w14:textId="77777777" w:rsidR="00677B3F" w:rsidRPr="008B4309" w:rsidRDefault="00677B3F" w:rsidP="00B54701">
            <w:pPr>
              <w:tabs>
                <w:tab w:val="left" w:pos="-540"/>
                <w:tab w:val="left" w:pos="583"/>
              </w:tabs>
              <w:spacing w:after="120" w:line="240" w:lineRule="auto"/>
              <w:ind w:firstLine="329"/>
              <w:rPr>
                <w:rFonts w:ascii="Times New Roman" w:hAnsi="Times New Roman"/>
                <w:sz w:val="24"/>
                <w:szCs w:val="24"/>
                <w:shd w:val="clear" w:color="auto" w:fill="FFFFFF"/>
              </w:rPr>
            </w:pPr>
            <w:r w:rsidRPr="008B4309">
              <w:rPr>
                <w:rFonts w:ascii="Times New Roman" w:hAnsi="Times New Roman"/>
                <w:sz w:val="24"/>
                <w:szCs w:val="24"/>
                <w:shd w:val="clear" w:color="auto" w:fill="FFFFFF"/>
              </w:rPr>
              <w:t>Potrivit art. 3 alin. 5 din Legea nr. 185/2016, ocuparea temporară a terenurilor din fondul forestier naţional se face fără acordul proprietarului pentru terenurile forestiere proprietate privată, în situaţia în care nu se prezintă un titlu valabil sau nu sunt cunoscuţi proprietarii, precum şi în situaţia succesiunilor nedeschise ori a succesorilor necunoscuţi sau în cazul în care nu se ajunge la o înţelegere cu proprietarul. Acordul proprietarului în acest caz se suplineşte prin declaraţia iniţiatorului proiectului de asumare proprie a răspunderii şi care descrie imposibilitatea obţinerii acordului proprietarilor. În cazul de față Societatea Națională de Transport Gaze Naturale ”Transgaz” SA Mediaș a emis Declarațiile de asumare proprie a răspunderii, înregistrat</w:t>
            </w:r>
            <w:r w:rsidRPr="008B4309">
              <w:rPr>
                <w:rFonts w:ascii="Times New Roman" w:hAnsi="Times New Roman"/>
                <w:sz w:val="24"/>
                <w:szCs w:val="24"/>
                <w:shd w:val="clear" w:color="auto" w:fill="FFFFFF"/>
                <w:lang w:val="ro-RO"/>
              </w:rPr>
              <w:t>ă</w:t>
            </w:r>
            <w:r w:rsidRPr="008B4309">
              <w:rPr>
                <w:rFonts w:ascii="Times New Roman" w:hAnsi="Times New Roman"/>
                <w:sz w:val="24"/>
                <w:szCs w:val="24"/>
                <w:shd w:val="clear" w:color="auto" w:fill="FFFFFF"/>
              </w:rPr>
              <w:t xml:space="preserve"> sub nr. 82340/28.09.2021.</w:t>
            </w:r>
          </w:p>
          <w:p w14:paraId="47168981" w14:textId="161A0970" w:rsidR="00677B3F" w:rsidRPr="008B4309" w:rsidRDefault="00677B3F" w:rsidP="00B54701">
            <w:pPr>
              <w:tabs>
                <w:tab w:val="left" w:pos="-540"/>
                <w:tab w:val="left" w:pos="583"/>
              </w:tabs>
              <w:spacing w:after="120" w:line="240" w:lineRule="auto"/>
              <w:ind w:firstLine="436"/>
              <w:rPr>
                <w:rStyle w:val="do1"/>
                <w:rFonts w:ascii="Times New Roman" w:hAnsi="Times New Roman"/>
                <w:sz w:val="24"/>
                <w:szCs w:val="24"/>
              </w:rPr>
            </w:pPr>
            <w:r w:rsidRPr="008B4309">
              <w:rPr>
                <w:rFonts w:ascii="Times New Roman" w:hAnsi="Times New Roman"/>
                <w:sz w:val="24"/>
                <w:szCs w:val="24"/>
                <w:shd w:val="clear" w:color="auto" w:fill="FFFFFF"/>
              </w:rPr>
              <w:lastRenderedPageBreak/>
              <w:t xml:space="preserve">Competenţa pentru aprobarea ocupării temporare a terenurilor din fondul forestier naţional pentru realizarea obiectivelor de importanţă naţională aparţine Guvernului, la propunerea autorităţii publice centrale care răspunde de silvicultură, conform art. 3 alin. </w:t>
            </w:r>
            <w:r w:rsidR="00D64AA8">
              <w:rPr>
                <w:rFonts w:ascii="Times New Roman" w:hAnsi="Times New Roman"/>
                <w:sz w:val="24"/>
                <w:szCs w:val="24"/>
                <w:shd w:val="clear" w:color="auto" w:fill="FFFFFF"/>
              </w:rPr>
              <w:t>(</w:t>
            </w:r>
            <w:r w:rsidRPr="008B4309">
              <w:rPr>
                <w:rFonts w:ascii="Times New Roman" w:hAnsi="Times New Roman"/>
                <w:sz w:val="24"/>
                <w:szCs w:val="24"/>
                <w:shd w:val="clear" w:color="auto" w:fill="FFFFFF"/>
              </w:rPr>
              <w:t>11</w:t>
            </w:r>
            <w:r w:rsidR="00D64AA8">
              <w:rPr>
                <w:rFonts w:ascii="Times New Roman" w:hAnsi="Times New Roman"/>
                <w:sz w:val="24"/>
                <w:szCs w:val="24"/>
                <w:shd w:val="clear" w:color="auto" w:fill="FFFFFF"/>
              </w:rPr>
              <w:t>)</w:t>
            </w:r>
            <w:r w:rsidRPr="008B4309">
              <w:rPr>
                <w:rFonts w:ascii="Times New Roman" w:hAnsi="Times New Roman"/>
                <w:sz w:val="24"/>
                <w:szCs w:val="24"/>
                <w:shd w:val="clear" w:color="auto" w:fill="FFFFFF"/>
              </w:rPr>
              <w:t xml:space="preserve"> din Legea nr. 185/2016.</w:t>
            </w:r>
            <w:r w:rsidRPr="008B4309">
              <w:rPr>
                <w:rStyle w:val="do1"/>
                <w:rFonts w:ascii="Times New Roman" w:hAnsi="Times New Roman"/>
                <w:sz w:val="24"/>
                <w:szCs w:val="24"/>
              </w:rPr>
              <w:t xml:space="preserve"> </w:t>
            </w:r>
          </w:p>
          <w:p w14:paraId="46A5FEA4" w14:textId="77777777" w:rsidR="00677B3F" w:rsidRPr="00A31F1C" w:rsidRDefault="00677B3F" w:rsidP="00B54701">
            <w:pPr>
              <w:tabs>
                <w:tab w:val="left" w:pos="-540"/>
                <w:tab w:val="left" w:pos="583"/>
              </w:tabs>
              <w:spacing w:after="120" w:line="240" w:lineRule="auto"/>
              <w:ind w:firstLine="436"/>
              <w:rPr>
                <w:rStyle w:val="do1"/>
                <w:rFonts w:ascii="Times New Roman" w:hAnsi="Times New Roman"/>
                <w:sz w:val="24"/>
                <w:szCs w:val="24"/>
              </w:rPr>
            </w:pPr>
          </w:p>
          <w:p w14:paraId="6926BF2E" w14:textId="22FBCF41" w:rsidR="00677B3F" w:rsidRPr="00FD0169" w:rsidRDefault="00D64AA8" w:rsidP="00FD0169">
            <w:pPr>
              <w:tabs>
                <w:tab w:val="left" w:pos="-540"/>
                <w:tab w:val="left" w:pos="583"/>
              </w:tabs>
              <w:spacing w:after="0" w:line="240" w:lineRule="auto"/>
              <w:ind w:firstLine="432"/>
              <w:rPr>
                <w:rStyle w:val="do1"/>
                <w:rFonts w:ascii="Times New Roman" w:hAnsi="Times New Roman"/>
                <w:b w:val="0"/>
                <w:bCs w:val="0"/>
                <w:sz w:val="24"/>
                <w:szCs w:val="24"/>
              </w:rPr>
            </w:pPr>
            <w:r>
              <w:rPr>
                <w:rStyle w:val="do1"/>
                <w:rFonts w:ascii="Times New Roman" w:hAnsi="Times New Roman"/>
                <w:b w:val="0"/>
                <w:bCs w:val="0"/>
                <w:sz w:val="24"/>
                <w:szCs w:val="24"/>
              </w:rPr>
              <w:t>Î</w:t>
            </w:r>
            <w:r w:rsidR="00677B3F" w:rsidRPr="00FD0169">
              <w:rPr>
                <w:rStyle w:val="do1"/>
                <w:rFonts w:ascii="Times New Roman" w:hAnsi="Times New Roman"/>
                <w:b w:val="0"/>
                <w:bCs w:val="0"/>
                <w:sz w:val="24"/>
                <w:szCs w:val="24"/>
              </w:rPr>
              <w:t xml:space="preserve">n urma identificării noului traseu s-a modificat suprafața totală necesară la 16,5290 ha precum și amplasamentul terenului. </w:t>
            </w:r>
          </w:p>
          <w:p w14:paraId="0E812D3E" w14:textId="77777777" w:rsidR="00677B3F" w:rsidRPr="00FD0169" w:rsidRDefault="00677B3F" w:rsidP="00FD0169">
            <w:pPr>
              <w:tabs>
                <w:tab w:val="left" w:pos="-540"/>
                <w:tab w:val="left" w:pos="583"/>
              </w:tabs>
              <w:spacing w:after="0" w:line="240" w:lineRule="auto"/>
              <w:ind w:firstLine="432"/>
              <w:rPr>
                <w:rStyle w:val="do1"/>
                <w:rFonts w:ascii="Times New Roman" w:hAnsi="Times New Roman"/>
                <w:b w:val="0"/>
                <w:bCs w:val="0"/>
                <w:sz w:val="24"/>
                <w:szCs w:val="24"/>
              </w:rPr>
            </w:pPr>
            <w:r w:rsidRPr="00FD0169">
              <w:rPr>
                <w:rStyle w:val="do1"/>
                <w:rFonts w:ascii="Times New Roman" w:hAnsi="Times New Roman"/>
                <w:b w:val="0"/>
                <w:bCs w:val="0"/>
                <w:sz w:val="24"/>
                <w:szCs w:val="24"/>
              </w:rPr>
              <w:t>Modificarea amplasamentului terenului se va realiza după cum urmează:</w:t>
            </w:r>
          </w:p>
          <w:p w14:paraId="0CB15BB9" w14:textId="3A8B5625" w:rsidR="00677B3F" w:rsidRPr="00FD0169" w:rsidRDefault="00677B3F" w:rsidP="00FD0169">
            <w:pPr>
              <w:tabs>
                <w:tab w:val="left" w:pos="-540"/>
                <w:tab w:val="left" w:pos="583"/>
              </w:tabs>
              <w:spacing w:after="0" w:line="240" w:lineRule="auto"/>
              <w:ind w:firstLine="432"/>
              <w:rPr>
                <w:rStyle w:val="do1"/>
                <w:rFonts w:ascii="Times New Roman" w:hAnsi="Times New Roman"/>
                <w:b w:val="0"/>
                <w:bCs w:val="0"/>
                <w:sz w:val="24"/>
                <w:szCs w:val="24"/>
              </w:rPr>
            </w:pPr>
            <w:r w:rsidRPr="00FD0169">
              <w:rPr>
                <w:rStyle w:val="do1"/>
                <w:rFonts w:ascii="Times New Roman" w:hAnsi="Times New Roman"/>
                <w:b w:val="0"/>
                <w:bCs w:val="0"/>
                <w:sz w:val="24"/>
                <w:szCs w:val="24"/>
              </w:rPr>
              <w:t>- Se modifică amplasamentul terenului prevăzut la alin. (3) al art. 1. din H</w:t>
            </w:r>
            <w:r w:rsidR="00D64AA8">
              <w:rPr>
                <w:rStyle w:val="do1"/>
                <w:rFonts w:ascii="Times New Roman" w:hAnsi="Times New Roman"/>
                <w:b w:val="0"/>
                <w:bCs w:val="0"/>
                <w:sz w:val="24"/>
                <w:szCs w:val="24"/>
              </w:rPr>
              <w:t xml:space="preserve">otărârea </w:t>
            </w:r>
            <w:r w:rsidRPr="00FD0169">
              <w:rPr>
                <w:rStyle w:val="do1"/>
                <w:rFonts w:ascii="Times New Roman" w:hAnsi="Times New Roman"/>
                <w:b w:val="0"/>
                <w:bCs w:val="0"/>
                <w:sz w:val="24"/>
                <w:szCs w:val="24"/>
              </w:rPr>
              <w:t>G</w:t>
            </w:r>
            <w:r w:rsidR="00D64AA8">
              <w:rPr>
                <w:rStyle w:val="do1"/>
                <w:rFonts w:ascii="Times New Roman" w:hAnsi="Times New Roman"/>
                <w:b w:val="0"/>
                <w:bCs w:val="0"/>
                <w:sz w:val="24"/>
                <w:szCs w:val="24"/>
              </w:rPr>
              <w:t>uvernului</w:t>
            </w:r>
            <w:r w:rsidRPr="00FD0169">
              <w:rPr>
                <w:rStyle w:val="do1"/>
                <w:rFonts w:ascii="Times New Roman" w:hAnsi="Times New Roman"/>
                <w:b w:val="0"/>
                <w:bCs w:val="0"/>
                <w:sz w:val="24"/>
                <w:szCs w:val="24"/>
              </w:rPr>
              <w:t xml:space="preserve"> nr. 221/2020 astfel:</w:t>
            </w:r>
          </w:p>
          <w:p w14:paraId="0B188487" w14:textId="70BCE188" w:rsidR="00677B3F" w:rsidRPr="008B4309" w:rsidRDefault="00677B3F" w:rsidP="005906F6">
            <w:pPr>
              <w:tabs>
                <w:tab w:val="left" w:pos="-540"/>
                <w:tab w:val="left" w:pos="583"/>
              </w:tabs>
              <w:spacing w:line="240" w:lineRule="auto"/>
              <w:ind w:firstLine="436"/>
              <w:rPr>
                <w:rFonts w:ascii="Times New Roman" w:eastAsia="Times New Roman" w:hAnsi="Times New Roman"/>
                <w:bCs/>
                <w:sz w:val="24"/>
                <w:szCs w:val="24"/>
              </w:rPr>
            </w:pPr>
            <w:r w:rsidRPr="008B4309">
              <w:rPr>
                <w:rFonts w:ascii="Times New Roman" w:hAnsi="Times New Roman"/>
                <w:sz w:val="24"/>
                <w:szCs w:val="24"/>
              </w:rPr>
              <w:t xml:space="preserve">Terenul forestier în suprafață de 12,0016 ha, aflat în proprietatea publică a statului și administrarea Regiei Naționale a Pădurilor – Romsilva este localizat pe raza </w:t>
            </w:r>
            <w:r w:rsidRPr="008B4309">
              <w:rPr>
                <w:rFonts w:ascii="Times New Roman" w:hAnsi="Times New Roman"/>
                <w:bCs/>
                <w:sz w:val="24"/>
                <w:szCs w:val="24"/>
              </w:rPr>
              <w:t xml:space="preserve">Ocolului silvic Pojorâta, Direcția silvică Suceava, în </w:t>
            </w:r>
            <w:r w:rsidRPr="008B4309">
              <w:rPr>
                <w:rFonts w:ascii="Times New Roman" w:eastAsia="Times New Roman" w:hAnsi="Times New Roman"/>
                <w:bCs/>
                <w:sz w:val="24"/>
                <w:szCs w:val="24"/>
              </w:rPr>
              <w:t xml:space="preserve">U.P. II, u.a. 162A1%=0,0700 ha, u.a. 172D%=0,0032, u.a. 109L%=0,0459 ha, u.a. 110I%=0,1325 ha, u.a.110A%=0,2420 ha, u.a. 110J%=0,2281 ha, u.a.110H %=0,1313 ha, u.a. 110B%=0,2546 ha, u.a. 111J%=0,0431 ha, u.a. 111K%=0,1666 ha, u.a. 111I%=0,1109 ha, u.a. 111M%=0,2977 ha, u.a. 111A%=0,3576 ha, u.a. 111H%=0,0357 ha, u.a. 112A%=0,0680 ha, u.a. 174D%=0,0029 ha, u.a. 123C%=0,0867 ha, u.a. 124B%=0,0767 ha, u.a. 175D%=0,0041 ha, u.a. 124A%=0,8487 ha, u.a. 125C%=0,0603 ha, u.a. 127H%=0,3262 ha, u.a. 127B%=0,0539 ha, u.a. 127A%=0,4553 ha și în </w:t>
            </w:r>
            <w:r w:rsidRPr="008B4309">
              <w:rPr>
                <w:rFonts w:ascii="Times New Roman" w:eastAsia="Times New Roman" w:hAnsi="Times New Roman"/>
                <w:sz w:val="24"/>
                <w:szCs w:val="24"/>
              </w:rPr>
              <w:t>U.P. III</w:t>
            </w:r>
            <w:r w:rsidRPr="008B4309">
              <w:rPr>
                <w:rFonts w:ascii="Times New Roman" w:eastAsia="Times New Roman" w:hAnsi="Times New Roman"/>
                <w:bCs/>
                <w:sz w:val="24"/>
                <w:szCs w:val="24"/>
              </w:rPr>
              <w:t>, u.a. 96A%=0,9765 ha, u.a. 96J%=0,2356 ha, u.a. 97L%=0,0463 ha, u.a. 97A%=0,1513 ha, u.a. 180 D%=0,0048 ha, u.a. 97A2%=0,0932 ha, u.a. 97N%=0,0272 ha, u.a. 151E%=0,0196 ha, u.a. 151C%=0,1261 ha, u.a. 151V%=0,2185 ha, u.a. 200H%=0,0509 ha, u.a. 194V3%=0,0899 ha, u.a. 200V4%=0,2080 ha, u.a. 194V2%=0,5885 ha, u.a. 194C%=0,1351 ha, u.a.194V1%=0,1427 ha, u.a. 200D%=0,1349 ha, u.a. 200A%=0,0741 ha, u.a. 200V1%=0,2733 ha, u.a. 200C%=0,0817 ha, u.a. 200V2%=0,2914 ha, u.a. 200K%=0,0088 ha, u.a. 195V%=0,0145 ha, u.a. 190D%=0,0036 ha, u.a. 199A%=0,3016 ha, u.a. 199B%=0,0657 ha, u.a. 199C%=0,5352 ha, u.a. 142C1=0,0242 ha, u.a. 142A%=0,2883 ha, u.a. 141B%=0,1103 ha, u.a. 189D%=0,0035 ha, u.a. 141C1%=0,0102 ha, u.a. 140C1%=0,0213 ha, u.a. 140I%=0,4858 ha, u.a. 139A%=0,1831 ha, u.a. 139C2=0,0867 ha, u.a. 139C1%=0,0933 ha, u.a. 188D%=0,0036 ha, u.a. 138F%=0,0211 ha, u.a. 138E%=0,0795 ha, u.a. 138I%=0,1353 ha, u.a. 138H%=0,1647 ha, 138D%=0,1449 ha, u.a. 138J%=0,8731 ha și u.a. 137C%=0,2717 ha.</w:t>
            </w:r>
          </w:p>
          <w:p w14:paraId="46A0EAFC" w14:textId="097E5B6C" w:rsidR="00677B3F" w:rsidRPr="00FD0169" w:rsidRDefault="00677B3F" w:rsidP="005906F6">
            <w:pPr>
              <w:tabs>
                <w:tab w:val="left" w:pos="-540"/>
                <w:tab w:val="left" w:pos="583"/>
              </w:tabs>
              <w:spacing w:line="240" w:lineRule="auto"/>
              <w:ind w:firstLine="432"/>
              <w:rPr>
                <w:rStyle w:val="do1"/>
                <w:rFonts w:ascii="Times New Roman" w:hAnsi="Times New Roman"/>
                <w:b w:val="0"/>
                <w:bCs w:val="0"/>
                <w:sz w:val="24"/>
                <w:szCs w:val="24"/>
              </w:rPr>
            </w:pPr>
            <w:r w:rsidRPr="008B4309">
              <w:rPr>
                <w:rStyle w:val="do1"/>
                <w:rFonts w:ascii="Times New Roman" w:hAnsi="Times New Roman"/>
                <w:sz w:val="24"/>
                <w:szCs w:val="24"/>
              </w:rPr>
              <w:t xml:space="preserve">- </w:t>
            </w:r>
            <w:r w:rsidRPr="00FD0169">
              <w:rPr>
                <w:rStyle w:val="do1"/>
                <w:rFonts w:ascii="Times New Roman" w:hAnsi="Times New Roman"/>
                <w:b w:val="0"/>
                <w:bCs w:val="0"/>
                <w:sz w:val="24"/>
                <w:szCs w:val="24"/>
              </w:rPr>
              <w:t>Se modifică amplasamentul terenului prevăzut la alin. (7) al art. 1. din H</w:t>
            </w:r>
            <w:r w:rsidR="00D64AA8">
              <w:rPr>
                <w:rStyle w:val="do1"/>
                <w:rFonts w:ascii="Times New Roman" w:hAnsi="Times New Roman"/>
                <w:b w:val="0"/>
                <w:bCs w:val="0"/>
                <w:sz w:val="24"/>
                <w:szCs w:val="24"/>
              </w:rPr>
              <w:t xml:space="preserve">otărârea </w:t>
            </w:r>
            <w:r w:rsidRPr="00FD0169">
              <w:rPr>
                <w:rStyle w:val="do1"/>
                <w:rFonts w:ascii="Times New Roman" w:hAnsi="Times New Roman"/>
                <w:b w:val="0"/>
                <w:bCs w:val="0"/>
                <w:sz w:val="24"/>
                <w:szCs w:val="24"/>
              </w:rPr>
              <w:t>G</w:t>
            </w:r>
            <w:r w:rsidR="00D64AA8">
              <w:rPr>
                <w:rStyle w:val="do1"/>
                <w:rFonts w:ascii="Times New Roman" w:hAnsi="Times New Roman"/>
                <w:b w:val="0"/>
                <w:bCs w:val="0"/>
                <w:sz w:val="24"/>
                <w:szCs w:val="24"/>
              </w:rPr>
              <w:t>uvernului</w:t>
            </w:r>
            <w:r w:rsidRPr="00FD0169">
              <w:rPr>
                <w:rStyle w:val="do1"/>
                <w:rFonts w:ascii="Times New Roman" w:hAnsi="Times New Roman"/>
                <w:b w:val="0"/>
                <w:bCs w:val="0"/>
                <w:sz w:val="24"/>
                <w:szCs w:val="24"/>
              </w:rPr>
              <w:t xml:space="preserve"> nr. 221/2020 astfel:</w:t>
            </w:r>
          </w:p>
          <w:p w14:paraId="2663AB60" w14:textId="749B2D9A" w:rsidR="00677B3F" w:rsidRPr="008B4309" w:rsidRDefault="00677B3F" w:rsidP="00B54701">
            <w:pPr>
              <w:tabs>
                <w:tab w:val="left" w:pos="-540"/>
                <w:tab w:val="left" w:pos="583"/>
              </w:tabs>
              <w:spacing w:after="120" w:line="240" w:lineRule="auto"/>
              <w:ind w:firstLine="432"/>
              <w:rPr>
                <w:rFonts w:ascii="Times New Roman" w:hAnsi="Times New Roman"/>
                <w:sz w:val="24"/>
                <w:szCs w:val="24"/>
              </w:rPr>
            </w:pPr>
            <w:r w:rsidRPr="008B4309">
              <w:rPr>
                <w:rFonts w:ascii="Times New Roman" w:hAnsi="Times New Roman"/>
                <w:sz w:val="24"/>
                <w:szCs w:val="24"/>
              </w:rPr>
              <w:t>Terenul forestier în suprafață de 1,0120 ha aflat în proprietatea privată a persoanelor fizice este în administrarea</w:t>
            </w:r>
            <w:r w:rsidRPr="008B4309">
              <w:rPr>
                <w:rFonts w:ascii="Times New Roman" w:hAnsi="Times New Roman"/>
                <w:b/>
                <w:sz w:val="24"/>
                <w:szCs w:val="24"/>
              </w:rPr>
              <w:t xml:space="preserve"> </w:t>
            </w:r>
            <w:r w:rsidRPr="008B4309">
              <w:rPr>
                <w:rFonts w:ascii="Times New Roman" w:hAnsi="Times New Roman"/>
                <w:bCs/>
                <w:sz w:val="24"/>
                <w:szCs w:val="24"/>
              </w:rPr>
              <w:t xml:space="preserve">Ocolului silvic Pojorâta, Direcția silvică Suceava pentru suprafața de de 0,8520 ha localizată în U.P. II, u.a.97B=0,2072 ha, 97A%=0,3024 ha, 98A%=0,2728 ha, u.a. 100%=0,0136 ha, 101H%=0,0560 ha și </w:t>
            </w:r>
            <w:r w:rsidRPr="008B4309">
              <w:rPr>
                <w:rFonts w:ascii="Times New Roman" w:hAnsi="Times New Roman"/>
                <w:sz w:val="24"/>
                <w:szCs w:val="24"/>
              </w:rPr>
              <w:t>în administrarea</w:t>
            </w:r>
            <w:r w:rsidRPr="008B4309">
              <w:rPr>
                <w:rFonts w:ascii="Times New Roman" w:hAnsi="Times New Roman"/>
                <w:b/>
                <w:sz w:val="24"/>
                <w:szCs w:val="24"/>
              </w:rPr>
              <w:t xml:space="preserve"> </w:t>
            </w:r>
            <w:r w:rsidRPr="008B4309">
              <w:rPr>
                <w:rFonts w:ascii="Times New Roman" w:hAnsi="Times New Roman"/>
                <w:bCs/>
                <w:sz w:val="24"/>
                <w:szCs w:val="24"/>
              </w:rPr>
              <w:t>Ocolului silvic Vatra Dornei, Direcția silvică Suceava pentru suprafața de 0,1600 ha localizată în U.P. IX</w:t>
            </w:r>
            <w:r w:rsidRPr="008B4309">
              <w:rPr>
                <w:rFonts w:ascii="Times New Roman" w:hAnsi="Times New Roman"/>
                <w:b/>
                <w:sz w:val="24"/>
                <w:szCs w:val="24"/>
              </w:rPr>
              <w:t xml:space="preserve">, </w:t>
            </w:r>
            <w:r w:rsidRPr="008B4309">
              <w:rPr>
                <w:rFonts w:ascii="Times New Roman" w:hAnsi="Times New Roman"/>
                <w:sz w:val="24"/>
                <w:szCs w:val="24"/>
              </w:rPr>
              <w:t>u.a. 84G=0,1600 ha.</w:t>
            </w:r>
          </w:p>
          <w:p w14:paraId="4C97F71C" w14:textId="77777777" w:rsidR="00677B3F" w:rsidRPr="00A31F1C" w:rsidRDefault="00677B3F" w:rsidP="00B54701">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lastRenderedPageBreak/>
              <w:t xml:space="preserve">    În vederea realizării obiectivului, </w:t>
            </w:r>
            <w:r w:rsidRPr="00A31F1C">
              <w:rPr>
                <w:rFonts w:ascii="Times New Roman" w:hAnsi="Times New Roman"/>
                <w:sz w:val="24"/>
                <w:szCs w:val="24"/>
                <w:shd w:val="clear" w:color="auto" w:fill="FFFFFF"/>
              </w:rPr>
              <w:t xml:space="preserve">Societatea Națională de Transport Gaze Naturale ”Transgaz” SA Mediaș </w:t>
            </w:r>
            <w:r w:rsidRPr="00A31F1C">
              <w:rPr>
                <w:rFonts w:ascii="Times New Roman" w:hAnsi="Times New Roman"/>
                <w:sz w:val="24"/>
                <w:szCs w:val="24"/>
                <w:lang w:val="ro-RO"/>
              </w:rPr>
              <w:t xml:space="preserve">a depus documentația întocmită în vederea modificării aprobării de ocupare temporară a terenului forestier în suprafață de 16,8810 ha, în scopul realizării obiectivului </w:t>
            </w:r>
            <w:r w:rsidRPr="00A31F1C">
              <w:rPr>
                <w:rFonts w:ascii="Times New Roman" w:hAnsi="Times New Roman"/>
                <w:sz w:val="24"/>
                <w:szCs w:val="24"/>
                <w:shd w:val="clear" w:color="auto" w:fill="FFFFFF"/>
              </w:rPr>
              <w:t>„</w:t>
            </w:r>
            <w:r w:rsidRPr="00A31F1C">
              <w:rPr>
                <w:rFonts w:ascii="Times New Roman" w:hAnsi="Times New Roman"/>
                <w:sz w:val="24"/>
                <w:szCs w:val="24"/>
                <w:lang w:val="ro-RO"/>
              </w:rPr>
              <w:t>Conductă de transport gaze naturale DN 250 Pojorâta – Vatra Dornei</w:t>
            </w:r>
            <w:r w:rsidRPr="00A31F1C">
              <w:rPr>
                <w:rFonts w:ascii="Times New Roman" w:hAnsi="Times New Roman"/>
                <w:bCs/>
                <w:sz w:val="24"/>
                <w:szCs w:val="24"/>
                <w:lang w:val="ro-RO"/>
              </w:rPr>
              <w:t>”</w:t>
            </w:r>
            <w:r w:rsidRPr="00A31F1C">
              <w:rPr>
                <w:rFonts w:ascii="Times New Roman" w:hAnsi="Times New Roman"/>
                <w:b/>
                <w:sz w:val="24"/>
                <w:szCs w:val="24"/>
                <w:lang w:val="ro-RO"/>
              </w:rPr>
              <w:t xml:space="preserve"> </w:t>
            </w:r>
            <w:r w:rsidRPr="00A31F1C">
              <w:rPr>
                <w:rFonts w:ascii="Times New Roman" w:hAnsi="Times New Roman"/>
                <w:sz w:val="24"/>
                <w:szCs w:val="24"/>
              </w:rPr>
              <w:t>care conține</w:t>
            </w:r>
            <w:r w:rsidRPr="00A31F1C">
              <w:rPr>
                <w:rFonts w:ascii="Times New Roman" w:hAnsi="Times New Roman"/>
                <w:sz w:val="24"/>
                <w:szCs w:val="24"/>
                <w:lang w:val="ro-RO"/>
              </w:rPr>
              <w:t>:</w:t>
            </w:r>
          </w:p>
          <w:p w14:paraId="7CEFD0F9"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lang w:val="ro-RO"/>
              </w:rPr>
              <w:t>Solicit</w:t>
            </w:r>
            <w:r>
              <w:rPr>
                <w:rFonts w:ascii="Times New Roman" w:hAnsi="Times New Roman"/>
                <w:sz w:val="24"/>
                <w:szCs w:val="24"/>
                <w:lang w:val="ro-RO"/>
              </w:rPr>
              <w:t xml:space="preserve">ările </w:t>
            </w:r>
            <w:r w:rsidRPr="00A31F1C">
              <w:rPr>
                <w:rFonts w:ascii="Times New Roman" w:hAnsi="Times New Roman"/>
                <w:sz w:val="24"/>
                <w:szCs w:val="24"/>
                <w:shd w:val="clear" w:color="auto" w:fill="FFFFFF"/>
              </w:rPr>
              <w:t>Societății Naționale de Transport Gaze Naturale ”Transgaz” SA Mediaș</w:t>
            </w:r>
            <w:r>
              <w:rPr>
                <w:rFonts w:ascii="Times New Roman" w:hAnsi="Times New Roman"/>
                <w:sz w:val="24"/>
                <w:szCs w:val="24"/>
                <w:lang w:val="ro-RO"/>
              </w:rPr>
              <w:t xml:space="preserve"> nr.</w:t>
            </w:r>
            <w:r w:rsidRPr="00A31F1C">
              <w:rPr>
                <w:rFonts w:ascii="Times New Roman" w:hAnsi="Times New Roman"/>
                <w:sz w:val="24"/>
                <w:szCs w:val="24"/>
                <w:lang w:val="ro-RO"/>
              </w:rPr>
              <w:t xml:space="preserve"> DPC769</w:t>
            </w:r>
            <w:r>
              <w:rPr>
                <w:rFonts w:ascii="Times New Roman" w:hAnsi="Times New Roman"/>
                <w:sz w:val="24"/>
                <w:szCs w:val="24"/>
                <w:lang w:val="ro-RO"/>
              </w:rPr>
              <w:t>2</w:t>
            </w:r>
            <w:r w:rsidRPr="00A31F1C">
              <w:rPr>
                <w:rFonts w:ascii="Times New Roman" w:hAnsi="Times New Roman"/>
                <w:sz w:val="24"/>
                <w:szCs w:val="24"/>
                <w:lang w:val="ro-RO"/>
              </w:rPr>
              <w:t>0/</w:t>
            </w:r>
            <w:r>
              <w:rPr>
                <w:rFonts w:ascii="Times New Roman" w:hAnsi="Times New Roman"/>
                <w:sz w:val="24"/>
                <w:szCs w:val="24"/>
                <w:lang w:val="ro-RO"/>
              </w:rPr>
              <w:t>11</w:t>
            </w:r>
            <w:r w:rsidRPr="00A31F1C">
              <w:rPr>
                <w:rFonts w:ascii="Times New Roman" w:hAnsi="Times New Roman"/>
                <w:sz w:val="24"/>
                <w:szCs w:val="24"/>
                <w:lang w:val="ro-RO"/>
              </w:rPr>
              <w:t>.1</w:t>
            </w:r>
            <w:r>
              <w:rPr>
                <w:rFonts w:ascii="Times New Roman" w:hAnsi="Times New Roman"/>
                <w:sz w:val="24"/>
                <w:szCs w:val="24"/>
                <w:lang w:val="ro-RO"/>
              </w:rPr>
              <w:t>0</w:t>
            </w:r>
            <w:r w:rsidRPr="00A31F1C">
              <w:rPr>
                <w:rFonts w:ascii="Times New Roman" w:hAnsi="Times New Roman"/>
                <w:sz w:val="24"/>
                <w:szCs w:val="24"/>
                <w:lang w:val="ro-RO"/>
              </w:rPr>
              <w:t>.20</w:t>
            </w:r>
            <w:r>
              <w:rPr>
                <w:rFonts w:ascii="Times New Roman" w:hAnsi="Times New Roman"/>
                <w:sz w:val="24"/>
                <w:szCs w:val="24"/>
                <w:lang w:val="ro-RO"/>
              </w:rPr>
              <w:t xml:space="preserve">21 și </w:t>
            </w:r>
            <w:r w:rsidRPr="00A31F1C">
              <w:rPr>
                <w:rFonts w:ascii="Times New Roman" w:hAnsi="Times New Roman"/>
                <w:sz w:val="24"/>
                <w:szCs w:val="24"/>
                <w:lang w:val="ro-RO"/>
              </w:rPr>
              <w:t>nr. DPC</w:t>
            </w:r>
            <w:r>
              <w:rPr>
                <w:rFonts w:ascii="Times New Roman" w:hAnsi="Times New Roman"/>
                <w:sz w:val="24"/>
                <w:szCs w:val="24"/>
                <w:lang w:val="ro-RO"/>
              </w:rPr>
              <w:t>82949</w:t>
            </w:r>
            <w:r w:rsidRPr="00A31F1C">
              <w:rPr>
                <w:rFonts w:ascii="Times New Roman" w:hAnsi="Times New Roman"/>
                <w:sz w:val="24"/>
                <w:szCs w:val="24"/>
                <w:lang w:val="ro-RO"/>
              </w:rPr>
              <w:t>/</w:t>
            </w:r>
            <w:r>
              <w:rPr>
                <w:rFonts w:ascii="Times New Roman" w:hAnsi="Times New Roman"/>
                <w:sz w:val="24"/>
                <w:szCs w:val="24"/>
                <w:lang w:val="ro-RO"/>
              </w:rPr>
              <w:t>01</w:t>
            </w:r>
            <w:r w:rsidRPr="00A31F1C">
              <w:rPr>
                <w:rFonts w:ascii="Times New Roman" w:hAnsi="Times New Roman"/>
                <w:sz w:val="24"/>
                <w:szCs w:val="24"/>
                <w:lang w:val="ro-RO"/>
              </w:rPr>
              <w:t>.1</w:t>
            </w:r>
            <w:r>
              <w:rPr>
                <w:rFonts w:ascii="Times New Roman" w:hAnsi="Times New Roman"/>
                <w:sz w:val="24"/>
                <w:szCs w:val="24"/>
                <w:lang w:val="ro-RO"/>
              </w:rPr>
              <w:t>1</w:t>
            </w:r>
            <w:r w:rsidRPr="00A31F1C">
              <w:rPr>
                <w:rFonts w:ascii="Times New Roman" w:hAnsi="Times New Roman"/>
                <w:sz w:val="24"/>
                <w:szCs w:val="24"/>
                <w:lang w:val="ro-RO"/>
              </w:rPr>
              <w:t>.20</w:t>
            </w:r>
            <w:r>
              <w:rPr>
                <w:rFonts w:ascii="Times New Roman" w:hAnsi="Times New Roman"/>
                <w:sz w:val="24"/>
                <w:szCs w:val="24"/>
                <w:lang w:val="ro-RO"/>
              </w:rPr>
              <w:t>2</w:t>
            </w:r>
            <w:r w:rsidRPr="00A31F1C">
              <w:rPr>
                <w:rFonts w:ascii="Times New Roman" w:hAnsi="Times New Roman"/>
                <w:sz w:val="24"/>
                <w:szCs w:val="24"/>
                <w:lang w:val="ro-RO"/>
              </w:rPr>
              <w:t>1, înregistrat</w:t>
            </w:r>
            <w:r>
              <w:rPr>
                <w:rFonts w:ascii="Times New Roman" w:hAnsi="Times New Roman"/>
                <w:sz w:val="24"/>
                <w:szCs w:val="24"/>
                <w:lang w:val="ro-RO"/>
              </w:rPr>
              <w:t>e</w:t>
            </w:r>
            <w:r w:rsidRPr="00A31F1C">
              <w:rPr>
                <w:rFonts w:ascii="Times New Roman" w:hAnsi="Times New Roman"/>
                <w:sz w:val="24"/>
                <w:szCs w:val="24"/>
                <w:lang w:val="ro-RO"/>
              </w:rPr>
              <w:t xml:space="preserve"> </w:t>
            </w:r>
            <w:r>
              <w:rPr>
                <w:rFonts w:ascii="Times New Roman" w:hAnsi="Times New Roman"/>
                <w:sz w:val="24"/>
                <w:szCs w:val="24"/>
                <w:lang w:val="ro-RO"/>
              </w:rPr>
              <w:t xml:space="preserve">la </w:t>
            </w:r>
            <w:r w:rsidRPr="00A31F1C">
              <w:rPr>
                <w:rFonts w:ascii="Times New Roman" w:hAnsi="Times New Roman"/>
                <w:sz w:val="24"/>
                <w:szCs w:val="24"/>
                <w:lang w:val="ro-RO"/>
              </w:rPr>
              <w:t xml:space="preserve">Ministerul </w:t>
            </w:r>
            <w:r>
              <w:rPr>
                <w:rFonts w:ascii="Times New Roman" w:hAnsi="Times New Roman"/>
                <w:sz w:val="24"/>
                <w:szCs w:val="24"/>
                <w:lang w:val="ro-RO"/>
              </w:rPr>
              <w:t xml:space="preserve">Mediului, </w:t>
            </w:r>
            <w:r w:rsidRPr="00A31F1C">
              <w:rPr>
                <w:rFonts w:ascii="Times New Roman" w:hAnsi="Times New Roman"/>
                <w:sz w:val="24"/>
                <w:szCs w:val="24"/>
                <w:lang w:val="ro-RO"/>
              </w:rPr>
              <w:t>Apelor și Pădurilor la nr. R</w:t>
            </w:r>
            <w:r>
              <w:rPr>
                <w:rFonts w:ascii="Times New Roman" w:hAnsi="Times New Roman"/>
                <w:sz w:val="24"/>
                <w:szCs w:val="24"/>
                <w:lang w:val="ro-RO"/>
              </w:rPr>
              <w:t xml:space="preserve"> </w:t>
            </w:r>
            <w:r w:rsidRPr="00A31F1C">
              <w:rPr>
                <w:rFonts w:ascii="Times New Roman" w:hAnsi="Times New Roman"/>
                <w:sz w:val="24"/>
                <w:szCs w:val="24"/>
                <w:lang w:val="ro-RO"/>
              </w:rPr>
              <w:t xml:space="preserve">29014/12.10.2021 și </w:t>
            </w:r>
            <w:r>
              <w:rPr>
                <w:rFonts w:ascii="Times New Roman" w:hAnsi="Times New Roman"/>
                <w:sz w:val="24"/>
                <w:szCs w:val="24"/>
                <w:lang w:val="ro-RO"/>
              </w:rPr>
              <w:t>respectiv la nr.</w:t>
            </w:r>
            <w:r w:rsidRPr="00A31F1C">
              <w:rPr>
                <w:rFonts w:ascii="Times New Roman" w:hAnsi="Times New Roman"/>
                <w:sz w:val="24"/>
                <w:szCs w:val="24"/>
                <w:lang w:val="ro-RO"/>
              </w:rPr>
              <w:t>R 260135/02.11.2021,</w:t>
            </w:r>
          </w:p>
          <w:p w14:paraId="1730DE90"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lang w:val="ro-RO"/>
              </w:rPr>
              <w:t xml:space="preserve">Memoriul tehnico-justificativîntocmit de </w:t>
            </w:r>
            <w:r w:rsidRPr="00A31F1C">
              <w:rPr>
                <w:rFonts w:ascii="Times New Roman" w:hAnsi="Times New Roman"/>
                <w:sz w:val="24"/>
                <w:szCs w:val="24"/>
                <w:shd w:val="clear" w:color="auto" w:fill="FFFFFF"/>
              </w:rPr>
              <w:t>Societatea Națională de Transport Gaze Naturale ”Transgaz” SA Mediaș</w:t>
            </w:r>
            <w:r w:rsidRPr="00A31F1C">
              <w:rPr>
                <w:rFonts w:ascii="Times New Roman" w:hAnsi="Times New Roman"/>
                <w:sz w:val="24"/>
                <w:szCs w:val="24"/>
                <w:lang w:val="ro-RO"/>
              </w:rPr>
              <w:t>,</w:t>
            </w:r>
          </w:p>
          <w:p w14:paraId="48D708C3"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lang w:val="ro-RO"/>
              </w:rPr>
              <w:t xml:space="preserve">planuri de încadrare în zonă, planuri de situație și planuri de detaliu al obiectivului, </w:t>
            </w:r>
          </w:p>
          <w:p w14:paraId="7C78017E"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lang w:val="ro-RO"/>
              </w:rPr>
              <w:t xml:space="preserve">copii ale hărţiilor amenajistice pe care este materializat amplasamentul obiectivului, vizate de ocoalele silvice care asigură administrarea sau serviciile silvice, </w:t>
            </w:r>
          </w:p>
          <w:p w14:paraId="22DE4B1E"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shd w:val="clear" w:color="auto" w:fill="FFFFFF"/>
              </w:rPr>
              <w:t>planurile topografice executate în Sistemul de proiecţie stereografic 1970 al suprafeţelor care fac obiectul ocupării temporare a terenurilor din fondul forestier naţional,</w:t>
            </w:r>
          </w:p>
          <w:p w14:paraId="44F4799E"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shd w:val="clear" w:color="auto" w:fill="FFFFFF"/>
              </w:rPr>
            </w:pPr>
            <w:r w:rsidRPr="00A31F1C">
              <w:rPr>
                <w:rFonts w:ascii="Times New Roman" w:hAnsi="Times New Roman"/>
                <w:sz w:val="24"/>
                <w:szCs w:val="24"/>
                <w:shd w:val="clear" w:color="auto" w:fill="FFFFFF"/>
              </w:rPr>
              <w:t xml:space="preserve">Fişele tehnice de transmitere-defrişare pentru ocuparea temporară a terenurilor forestiere, </w:t>
            </w:r>
          </w:p>
          <w:p w14:paraId="71EA7351" w14:textId="77777777" w:rsidR="00677B3F" w:rsidRPr="00A31F1C" w:rsidRDefault="00677B3F" w:rsidP="005906F6">
            <w:pPr>
              <w:pStyle w:val="ListParagraph"/>
              <w:numPr>
                <w:ilvl w:val="0"/>
                <w:numId w:val="9"/>
              </w:numPr>
              <w:autoSpaceDE w:val="0"/>
              <w:autoSpaceDN w:val="0"/>
              <w:adjustRightInd w:val="0"/>
              <w:jc w:val="both"/>
              <w:rPr>
                <w:rFonts w:ascii="Times New Roman" w:hAnsi="Times New Roman"/>
                <w:color w:val="auto"/>
                <w:sz w:val="24"/>
                <w:szCs w:val="24"/>
                <w:shd w:val="clear" w:color="auto" w:fill="FFFFFF"/>
              </w:rPr>
            </w:pPr>
            <w:r w:rsidRPr="00A31F1C">
              <w:rPr>
                <w:rFonts w:ascii="Times New Roman" w:hAnsi="Times New Roman"/>
                <w:color w:val="auto"/>
                <w:sz w:val="24"/>
                <w:szCs w:val="24"/>
                <w:shd w:val="clear" w:color="auto" w:fill="FFFFFF"/>
              </w:rPr>
              <w:t>Avizele Ocolului Silvic Pojorâta pentru ocuparea temporară a terenurilor forestiere nr. 1/29.06.2021 și nr. 2/01.10.2021,</w:t>
            </w:r>
          </w:p>
          <w:p w14:paraId="4A56F139" w14:textId="77777777" w:rsidR="00677B3F" w:rsidRPr="00A31F1C" w:rsidRDefault="00677B3F" w:rsidP="005906F6">
            <w:pPr>
              <w:pStyle w:val="ListParagraph"/>
              <w:numPr>
                <w:ilvl w:val="0"/>
                <w:numId w:val="9"/>
              </w:numPr>
              <w:autoSpaceDE w:val="0"/>
              <w:autoSpaceDN w:val="0"/>
              <w:adjustRightInd w:val="0"/>
              <w:jc w:val="both"/>
              <w:rPr>
                <w:rFonts w:ascii="Times New Roman" w:hAnsi="Times New Roman"/>
                <w:color w:val="auto"/>
                <w:sz w:val="24"/>
                <w:szCs w:val="24"/>
                <w:shd w:val="clear" w:color="auto" w:fill="FFFFFF"/>
              </w:rPr>
            </w:pPr>
            <w:r w:rsidRPr="00A31F1C">
              <w:rPr>
                <w:rFonts w:ascii="Times New Roman" w:hAnsi="Times New Roman"/>
                <w:color w:val="auto"/>
                <w:sz w:val="24"/>
                <w:szCs w:val="24"/>
                <w:shd w:val="clear" w:color="auto" w:fill="FFFFFF"/>
              </w:rPr>
              <w:t>Adresa Ocolului Silvic Pojorâta nr. 12056/TD/26.10.2021 în care confirmă că HG nr. 221/18.03.2020 nu a produs efecte,</w:t>
            </w:r>
          </w:p>
          <w:p w14:paraId="0470E8DC" w14:textId="77777777" w:rsidR="00677B3F" w:rsidRPr="00A31F1C" w:rsidRDefault="00677B3F" w:rsidP="005906F6">
            <w:pPr>
              <w:pStyle w:val="ListParagraph"/>
              <w:numPr>
                <w:ilvl w:val="0"/>
                <w:numId w:val="9"/>
              </w:numPr>
              <w:autoSpaceDE w:val="0"/>
              <w:autoSpaceDN w:val="0"/>
              <w:adjustRightInd w:val="0"/>
              <w:jc w:val="both"/>
              <w:rPr>
                <w:rFonts w:ascii="Times New Roman" w:hAnsi="Times New Roman"/>
                <w:color w:val="auto"/>
                <w:sz w:val="24"/>
                <w:szCs w:val="24"/>
                <w:shd w:val="clear" w:color="auto" w:fill="FFFFFF"/>
              </w:rPr>
            </w:pPr>
            <w:r w:rsidRPr="00A31F1C">
              <w:rPr>
                <w:rFonts w:ascii="Times New Roman" w:hAnsi="Times New Roman"/>
                <w:color w:val="auto"/>
                <w:sz w:val="24"/>
                <w:szCs w:val="24"/>
                <w:shd w:val="clear" w:color="auto" w:fill="FFFFFF"/>
              </w:rPr>
              <w:t>Autorizație de construire nr. 8/02.08.2019 emisă de Ministerul Energiei</w:t>
            </w:r>
          </w:p>
          <w:p w14:paraId="7AA1E888" w14:textId="77777777" w:rsidR="00677B3F" w:rsidRPr="00A31F1C" w:rsidRDefault="00677B3F" w:rsidP="00677B3F">
            <w:pPr>
              <w:numPr>
                <w:ilvl w:val="0"/>
                <w:numId w:val="9"/>
              </w:numPr>
              <w:autoSpaceDE w:val="0"/>
              <w:autoSpaceDN w:val="0"/>
              <w:adjustRightInd w:val="0"/>
              <w:spacing w:after="0" w:line="240" w:lineRule="auto"/>
              <w:rPr>
                <w:rFonts w:ascii="Times New Roman" w:hAnsi="Times New Roman"/>
                <w:sz w:val="24"/>
                <w:szCs w:val="24"/>
                <w:shd w:val="clear" w:color="auto" w:fill="FFFFFF"/>
              </w:rPr>
            </w:pPr>
            <w:r w:rsidRPr="00A31F1C">
              <w:rPr>
                <w:rFonts w:ascii="Times New Roman" w:hAnsi="Times New Roman"/>
                <w:sz w:val="24"/>
                <w:szCs w:val="24"/>
                <w:shd w:val="clear" w:color="auto" w:fill="FFFFFF"/>
              </w:rPr>
              <w:t>dovada proprietății asupra terenului forestier și acordul deținătorului:</w:t>
            </w:r>
          </w:p>
          <w:p w14:paraId="3062947B" w14:textId="77777777" w:rsidR="00677B3F" w:rsidRPr="00A31F1C" w:rsidRDefault="00677B3F" w:rsidP="00677B3F">
            <w:pPr>
              <w:numPr>
                <w:ilvl w:val="0"/>
                <w:numId w:val="10"/>
              </w:numPr>
              <w:autoSpaceDE w:val="0"/>
              <w:autoSpaceDN w:val="0"/>
              <w:adjustRightInd w:val="0"/>
              <w:spacing w:after="0" w:line="240" w:lineRule="auto"/>
              <w:rPr>
                <w:rFonts w:ascii="Times New Roman" w:hAnsi="Times New Roman"/>
                <w:sz w:val="24"/>
                <w:szCs w:val="24"/>
                <w:lang w:val="ro-RO" w:eastAsia="ro-RO"/>
              </w:rPr>
            </w:pPr>
            <w:r w:rsidRPr="00A31F1C">
              <w:rPr>
                <w:rFonts w:ascii="Times New Roman" w:hAnsi="Times New Roman"/>
                <w:sz w:val="24"/>
                <w:szCs w:val="24"/>
                <w:shd w:val="clear" w:color="auto" w:fill="FFFFFF"/>
              </w:rPr>
              <w:t xml:space="preserve">pentru terenurile forestiere aflate în proprietatea publică a statului și administrarea Regiei Naționale a Pădurilor – Romsilva </w:t>
            </w:r>
            <w:r w:rsidRPr="00A31F1C">
              <w:rPr>
                <w:rFonts w:ascii="Times New Roman" w:hAnsi="Times New Roman"/>
                <w:sz w:val="24"/>
                <w:szCs w:val="24"/>
                <w:lang w:val="ro-RO" w:eastAsia="ro-RO"/>
              </w:rPr>
              <w:t>au fost atașate copii ale descrierii parcelare, vizate de către ocolele silvice care asigură administrarea, așa cum este prevăzut de art. 3 alin. (10) lit g)  din Legea nr. 185/2016;</w:t>
            </w:r>
          </w:p>
          <w:p w14:paraId="50E6FBE3" w14:textId="77777777" w:rsidR="00677B3F" w:rsidRPr="00A31F1C" w:rsidRDefault="00677B3F" w:rsidP="00677B3F">
            <w:pPr>
              <w:numPr>
                <w:ilvl w:val="0"/>
                <w:numId w:val="10"/>
              </w:numPr>
              <w:autoSpaceDE w:val="0"/>
              <w:autoSpaceDN w:val="0"/>
              <w:adjustRightInd w:val="0"/>
              <w:spacing w:after="0" w:line="240" w:lineRule="auto"/>
              <w:rPr>
                <w:rFonts w:ascii="Times New Roman" w:hAnsi="Times New Roman"/>
                <w:sz w:val="24"/>
                <w:szCs w:val="24"/>
                <w:lang w:val="ro-RO" w:eastAsia="ro-RO"/>
              </w:rPr>
            </w:pPr>
            <w:r w:rsidRPr="00A31F1C">
              <w:rPr>
                <w:rFonts w:ascii="Times New Roman" w:hAnsi="Times New Roman"/>
                <w:sz w:val="24"/>
                <w:szCs w:val="24"/>
                <w:lang w:val="ro-RO" w:eastAsia="ro-RO"/>
              </w:rPr>
              <w:t xml:space="preserve">pentru terenurile forestiere aflate în proprietatea privată a fost prezentată </w:t>
            </w:r>
            <w:r w:rsidRPr="00A31F1C">
              <w:rPr>
                <w:rFonts w:ascii="Times New Roman" w:hAnsi="Times New Roman"/>
                <w:sz w:val="24"/>
                <w:szCs w:val="24"/>
                <w:shd w:val="clear" w:color="auto" w:fill="FFFFFF"/>
              </w:rPr>
              <w:t>Declarația de asumare proprie a răspunderii, înregistrată sub nr. 82340/28.10.2021, pentru suprafața de 0,0696 ha.</w:t>
            </w:r>
          </w:p>
          <w:p w14:paraId="485A1F10" w14:textId="77777777" w:rsidR="00677B3F" w:rsidRPr="00A31F1C" w:rsidRDefault="00677B3F" w:rsidP="00677B3F">
            <w:pPr>
              <w:numPr>
                <w:ilvl w:val="0"/>
                <w:numId w:val="9"/>
              </w:numPr>
              <w:autoSpaceDE w:val="0"/>
              <w:autoSpaceDN w:val="0"/>
              <w:adjustRightInd w:val="0"/>
              <w:spacing w:after="0" w:line="240" w:lineRule="auto"/>
              <w:ind w:left="475"/>
              <w:rPr>
                <w:rFonts w:ascii="Times New Roman" w:hAnsi="Times New Roman"/>
                <w:sz w:val="24"/>
                <w:szCs w:val="24"/>
                <w:shd w:val="clear" w:color="auto" w:fill="FFFFFF"/>
              </w:rPr>
            </w:pPr>
            <w:r w:rsidRPr="00A31F1C">
              <w:rPr>
                <w:rFonts w:ascii="Times New Roman" w:hAnsi="Times New Roman"/>
                <w:sz w:val="24"/>
                <w:szCs w:val="24"/>
                <w:shd w:val="clear" w:color="auto" w:fill="FFFFFF"/>
              </w:rPr>
              <w:t>Decizia etapei de încadrare nr. 68/21.09.2016, revizuită în data de 31.03.2017, în data de 27.10.2017 și în data de 27.09.2021, emisă de către Agenţia pentru Protecţia  Mediului Suceava,</w:t>
            </w:r>
          </w:p>
          <w:p w14:paraId="44667C5C" w14:textId="77777777" w:rsidR="00677B3F" w:rsidRPr="00A31F1C" w:rsidRDefault="00677B3F" w:rsidP="00677B3F">
            <w:pPr>
              <w:numPr>
                <w:ilvl w:val="0"/>
                <w:numId w:val="9"/>
              </w:numPr>
              <w:autoSpaceDE w:val="0"/>
              <w:autoSpaceDN w:val="0"/>
              <w:adjustRightInd w:val="0"/>
              <w:spacing w:after="0" w:line="240" w:lineRule="auto"/>
              <w:ind w:left="475"/>
              <w:rPr>
                <w:rFonts w:ascii="Times New Roman" w:hAnsi="Times New Roman"/>
                <w:sz w:val="24"/>
                <w:szCs w:val="24"/>
                <w:shd w:val="clear" w:color="auto" w:fill="FFFFFF"/>
              </w:rPr>
            </w:pPr>
            <w:r w:rsidRPr="00A31F1C">
              <w:rPr>
                <w:rFonts w:ascii="Times New Roman" w:hAnsi="Times New Roman"/>
                <w:sz w:val="24"/>
                <w:szCs w:val="24"/>
                <w:shd w:val="clear" w:color="auto" w:fill="FFFFFF"/>
              </w:rPr>
              <w:t>copie de pe documentele de plată a garanției în cuantum de 3.774.440,00 lei, din care suma de 1.145.821,99 lei a fost achitată cu ordinul de plată nr. 92 din 22.01.2019,  suma de 647.444,38 lei a fost achitată cu ordinul de plată nr. 894 din 29.12.2017 și suma de 1.981.173,63 lei a fost achitată cu ordinul de plată nr. 893 din 29.12.2017</w:t>
            </w:r>
          </w:p>
          <w:p w14:paraId="2ABD9D34" w14:textId="77777777" w:rsidR="00677B3F" w:rsidRPr="00A31F1C" w:rsidRDefault="00677B3F" w:rsidP="00B54701">
            <w:pPr>
              <w:numPr>
                <w:ilvl w:val="0"/>
                <w:numId w:val="9"/>
              </w:numPr>
              <w:autoSpaceDE w:val="0"/>
              <w:autoSpaceDN w:val="0"/>
              <w:adjustRightInd w:val="0"/>
              <w:spacing w:after="120" w:line="240" w:lineRule="auto"/>
              <w:ind w:left="475"/>
              <w:rPr>
                <w:rFonts w:ascii="Times New Roman" w:hAnsi="Times New Roman"/>
                <w:sz w:val="24"/>
                <w:szCs w:val="24"/>
                <w:shd w:val="clear" w:color="auto" w:fill="FFFFFF"/>
              </w:rPr>
            </w:pPr>
            <w:r w:rsidRPr="00A31F1C">
              <w:rPr>
                <w:rFonts w:ascii="Times New Roman" w:hAnsi="Times New Roman"/>
                <w:sz w:val="24"/>
                <w:szCs w:val="24"/>
                <w:shd w:val="clear" w:color="auto" w:fill="FFFFFF"/>
              </w:rPr>
              <w:t>Avizul Gărzii Forestiere Suceava nr. 10/07.10.2021, cu referire la Avizul nr. 1 din din 17.02.2020 pentru modificarea și completarea Avizului nr. 1/17.02.2020, în vederea modificării și completării HG nr. 221/18.03.2020 publicat în MO nr. 266/31.03.2020.</w:t>
            </w:r>
          </w:p>
          <w:p w14:paraId="30DAEFD5" w14:textId="77777777" w:rsidR="00677B3F" w:rsidRPr="00A31F1C" w:rsidRDefault="00677B3F" w:rsidP="00B54701">
            <w:pPr>
              <w:spacing w:after="120" w:line="240" w:lineRule="auto"/>
              <w:ind w:firstLine="436"/>
              <w:rPr>
                <w:rFonts w:ascii="Times New Roman" w:hAnsi="Times New Roman"/>
                <w:sz w:val="24"/>
                <w:szCs w:val="24"/>
                <w:shd w:val="clear" w:color="auto" w:fill="FFFFFF"/>
              </w:rPr>
            </w:pPr>
            <w:r w:rsidRPr="00A31F1C">
              <w:rPr>
                <w:rFonts w:ascii="Times New Roman" w:hAnsi="Times New Roman"/>
                <w:sz w:val="24"/>
                <w:szCs w:val="24"/>
              </w:rPr>
              <w:lastRenderedPageBreak/>
              <w:t xml:space="preserve">Valoarea garanției recalculată ca urmare a modificării suprafeței și a amplasamentului obiectivului este de 3.672.121,5939. Societatea Națională de Transport Gaze Naturale ”Transgaz” SA Mediaș a achitat în Fondul de ameliorare a fondului funciar cu destinaţie silvică, aflat în administrare la Ministerul Mediului, Apelor şi Pădurilor, pentru ocuparea temporară a terenului forestier, garanţia în cuantum de </w:t>
            </w:r>
            <w:r w:rsidRPr="00A31F1C">
              <w:rPr>
                <w:rFonts w:ascii="Times New Roman" w:hAnsi="Times New Roman"/>
                <w:sz w:val="24"/>
                <w:szCs w:val="24"/>
                <w:shd w:val="clear" w:color="auto" w:fill="FFFFFF"/>
              </w:rPr>
              <w:t>3.774.440,00 lei.</w:t>
            </w:r>
          </w:p>
          <w:p w14:paraId="5A2F7F0A" w14:textId="77777777" w:rsidR="00677B3F" w:rsidRPr="00A31F1C" w:rsidRDefault="00677B3F" w:rsidP="00B54701">
            <w:pPr>
              <w:spacing w:after="120" w:line="240" w:lineRule="auto"/>
              <w:ind w:firstLine="436"/>
              <w:rPr>
                <w:rFonts w:ascii="Times New Roman" w:hAnsi="Times New Roman"/>
              </w:rPr>
            </w:pPr>
            <w:r w:rsidRPr="00A31F1C">
              <w:rPr>
                <w:rFonts w:ascii="Times New Roman" w:hAnsi="Times New Roman"/>
                <w:sz w:val="24"/>
                <w:szCs w:val="24"/>
              </w:rPr>
              <w:t>Societatea Națională de Transport Gaze Naturale ”Transgaz” SA Mediaș are obligația achitării obligaţiilor băneşti prevăzute la art. 42 alin. (1) lit. d) și e) din Legea 46/2008 – Codul silvic, republicată, cu modificările şi completările ulterioare, în cazul terenurilor aflate în proprietatea publică a statului,  anticipat predării terenurilor de către ocoalele silvice care asigură administrarea.</w:t>
            </w:r>
          </w:p>
          <w:p w14:paraId="6B299977" w14:textId="77777777" w:rsidR="00677B3F" w:rsidRPr="00A31F1C" w:rsidRDefault="00677B3F" w:rsidP="00FD0169">
            <w:pPr>
              <w:spacing w:after="120" w:line="240" w:lineRule="auto"/>
              <w:ind w:firstLine="436"/>
              <w:rPr>
                <w:rFonts w:ascii="Times New Roman" w:hAnsi="Times New Roman"/>
                <w:sz w:val="24"/>
                <w:szCs w:val="24"/>
              </w:rPr>
            </w:pPr>
            <w:r w:rsidRPr="00A31F1C">
              <w:rPr>
                <w:rFonts w:ascii="Times New Roman" w:hAnsi="Times New Roman"/>
                <w:sz w:val="24"/>
                <w:szCs w:val="24"/>
              </w:rPr>
              <w:t>Societatea Națională de Transport Gaze Naturale ”Transgaz” SA Mediaș are obligația achitării obligaţiilor băneşti prevăzute la art. 42 alin. (1) lit. b) - e) din Legea 46/2008 – Codul silvic, republicată, cu modificările şi completările ulterioare, pentru terenurile aflate în proprietatea privată a persoanelor fizice și juridice anticipat predării terenurilor de către ocoalele silvice care asigură administrarea sau servicile silvice.</w:t>
            </w:r>
          </w:p>
          <w:p w14:paraId="35F16D95" w14:textId="77777777" w:rsidR="00677B3F" w:rsidRPr="00A31F1C" w:rsidRDefault="00677B3F" w:rsidP="00FD0169">
            <w:pPr>
              <w:spacing w:after="120" w:line="240" w:lineRule="auto"/>
              <w:ind w:firstLine="436"/>
              <w:rPr>
                <w:rFonts w:ascii="Times New Roman" w:hAnsi="Times New Roman"/>
                <w:sz w:val="24"/>
                <w:szCs w:val="24"/>
              </w:rPr>
            </w:pPr>
            <w:r w:rsidRPr="00A31F1C">
              <w:rPr>
                <w:rFonts w:ascii="Times New Roman" w:hAnsi="Times New Roman"/>
                <w:sz w:val="24"/>
                <w:szCs w:val="24"/>
              </w:rPr>
              <w:t>În cazul terenurilor forestiere prevăzute pentru care Societatatea Națională de Transport Gaze Naturale ”Transgaz” SA Mediaș a emis declaraţia de asumare a propriei  răspunderi, ca urmare a imposibilității obţinerii acordului proprietarilor, obligațiile bănești prevăzute la art. 42 alin. (1) lit. b) și c) din Legea 46/2008 – Codul silvic, republicată, cu modificările şi completările ulterioare, care trebuie achitate potrivit legii, se consemnează cu titlu de indemnizaţie într-un cont bancar deschis pe numele iniţiatorului proiectului şi se eliberează ulterior prin dispoziţia iniţiatorului proiectului, în conformitate cu prevederile art. 3 alin. (6) din Legea nr. 185/2016.</w:t>
            </w:r>
          </w:p>
          <w:p w14:paraId="0A05B0A5" w14:textId="77777777" w:rsidR="00677B3F" w:rsidRPr="00A31F1C" w:rsidRDefault="00677B3F" w:rsidP="00FD0169">
            <w:pPr>
              <w:spacing w:after="120" w:line="240" w:lineRule="auto"/>
              <w:ind w:firstLine="361"/>
              <w:rPr>
                <w:rFonts w:ascii="Times New Roman" w:hAnsi="Times New Roman"/>
                <w:sz w:val="24"/>
                <w:szCs w:val="24"/>
              </w:rPr>
            </w:pPr>
            <w:r w:rsidRPr="00A31F1C">
              <w:rPr>
                <w:rFonts w:ascii="Times New Roman" w:hAnsi="Times New Roman"/>
                <w:sz w:val="24"/>
                <w:szCs w:val="24"/>
              </w:rPr>
              <w:t xml:space="preserve">La dezafectarea obiectivului ,,Conductă de transport gaze naturale DN 250 Pojorâta – Vatra Dornei``, Societatea Națională de Transport Gaze Naturale ”Transgaz” SA Mediaș are obligația redării în circuitul silvic a terenului forestier în suprafață de 16,5290 ha. </w:t>
            </w:r>
          </w:p>
          <w:p w14:paraId="1756504F" w14:textId="77777777" w:rsidR="00677B3F" w:rsidRPr="00A31F1C" w:rsidRDefault="00677B3F" w:rsidP="00FD0169">
            <w:pPr>
              <w:spacing w:after="120" w:line="240" w:lineRule="auto"/>
            </w:pPr>
            <w:r w:rsidRPr="00A31F1C">
              <w:rPr>
                <w:rFonts w:ascii="Times New Roman" w:hAnsi="Times New Roman"/>
                <w:sz w:val="24"/>
                <w:szCs w:val="24"/>
              </w:rPr>
              <w:t xml:space="preserve">      Terenurile forestiere de pe care se defrișează vegetația forestieră, în suprafață de 14,1105 ha, se redau, la sfârșitul perioadei aprobate de ocupare temporară, apte de a fi împădurite și fără restricţii în ceea ce privește reinstalarea vegetaţiei forestiere, la categoria de folosință „păduri și terenuri destinate împăduririi sau reîmpăduririi”.</w:t>
            </w:r>
            <w:r w:rsidRPr="00A31F1C">
              <w:t xml:space="preserve"> </w:t>
            </w:r>
          </w:p>
          <w:p w14:paraId="534E8205" w14:textId="71673D08" w:rsidR="00677B3F" w:rsidRPr="00A31F1C" w:rsidRDefault="00677B3F" w:rsidP="00FD0169">
            <w:pPr>
              <w:spacing w:after="120" w:line="240" w:lineRule="auto"/>
              <w:rPr>
                <w:rFonts w:ascii="Times New Roman" w:hAnsi="Times New Roman"/>
                <w:bCs/>
              </w:rPr>
            </w:pPr>
            <w:r w:rsidRPr="00A31F1C">
              <w:rPr>
                <w:rFonts w:ascii="Times New Roman" w:hAnsi="Times New Roman"/>
                <w:sz w:val="24"/>
                <w:szCs w:val="24"/>
              </w:rPr>
              <w:t xml:space="preserve">      Terenurile forestiere </w:t>
            </w:r>
            <w:r w:rsidRPr="00A31F1C">
              <w:rPr>
                <w:rFonts w:ascii="Times New Roman" w:hAnsi="Times New Roman"/>
              </w:rPr>
              <w:t xml:space="preserve">în suprafață de 2,4185 ha, </w:t>
            </w:r>
            <w:r w:rsidRPr="00A31F1C">
              <w:rPr>
                <w:rFonts w:ascii="Times New Roman" w:hAnsi="Times New Roman"/>
                <w:sz w:val="24"/>
                <w:szCs w:val="24"/>
              </w:rPr>
              <w:t>care nu fac obiectul defrișării, se redau în circuitul silvic la categoria de folosință de la data intrării în vigoare a prezentei hotărâri și fără restricții în utilizarea terenurilor</w:t>
            </w:r>
            <w:r w:rsidRPr="00A31F1C">
              <w:t>.</w:t>
            </w:r>
          </w:p>
        </w:tc>
      </w:tr>
      <w:tr w:rsidR="00677B3F" w:rsidRPr="00BA72AD" w14:paraId="73A2A6A3" w14:textId="77777777" w:rsidTr="005906F6">
        <w:trPr>
          <w:trHeight w:val="503"/>
        </w:trPr>
        <w:tc>
          <w:tcPr>
            <w:tcW w:w="2683" w:type="dxa"/>
            <w:gridSpan w:val="2"/>
          </w:tcPr>
          <w:p w14:paraId="5059667A"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lastRenderedPageBreak/>
              <w:t>1</w:t>
            </w:r>
            <w:r w:rsidRPr="00A31F1C">
              <w:rPr>
                <w:rFonts w:ascii="Times New Roman" w:hAnsi="Times New Roman"/>
                <w:sz w:val="24"/>
                <w:szCs w:val="24"/>
                <w:vertAlign w:val="superscript"/>
                <w:lang w:val="ro-RO"/>
              </w:rPr>
              <w:t>1</w:t>
            </w:r>
            <w:r w:rsidRPr="00A31F1C">
              <w:rPr>
                <w:rFonts w:ascii="Times New Roman" w:hAnsi="Times New Roman"/>
                <w:sz w:val="24"/>
                <w:szCs w:val="24"/>
                <w:lang w:val="ro-RO"/>
              </w:rPr>
              <w:t xml:space="preserve"> În cazul proiectelor de acte normative care transpun legislaţie comunitară sau creează </w:t>
            </w:r>
            <w:r w:rsidRPr="00A31F1C">
              <w:rPr>
                <w:rFonts w:ascii="Times New Roman" w:hAnsi="Times New Roman"/>
                <w:sz w:val="24"/>
                <w:szCs w:val="24"/>
                <w:lang w:val="ro-RO"/>
              </w:rPr>
              <w:lastRenderedPageBreak/>
              <w:t>cadrul pentru aplicarea directă a acesteia.</w:t>
            </w:r>
          </w:p>
        </w:tc>
        <w:tc>
          <w:tcPr>
            <w:tcW w:w="7752" w:type="dxa"/>
            <w:gridSpan w:val="9"/>
          </w:tcPr>
          <w:p w14:paraId="10BD4870" w14:textId="77777777" w:rsidR="00677B3F" w:rsidRPr="00A31F1C" w:rsidRDefault="00677B3F" w:rsidP="005906F6">
            <w:pPr>
              <w:rPr>
                <w:rFonts w:ascii="Times New Roman" w:hAnsi="Times New Roman"/>
                <w:sz w:val="24"/>
                <w:szCs w:val="24"/>
                <w:lang w:val="ro-RO"/>
              </w:rPr>
            </w:pPr>
            <w:r>
              <w:rPr>
                <w:rFonts w:ascii="Times New Roman" w:hAnsi="Times New Roman"/>
                <w:sz w:val="24"/>
                <w:szCs w:val="24"/>
                <w:lang w:val="ro-RO"/>
              </w:rPr>
              <w:lastRenderedPageBreak/>
              <w:t xml:space="preserve">  </w:t>
            </w:r>
            <w:r w:rsidRPr="00A31F1C">
              <w:rPr>
                <w:rFonts w:ascii="Times New Roman" w:hAnsi="Times New Roman"/>
                <w:sz w:val="24"/>
                <w:szCs w:val="24"/>
                <w:lang w:val="ro-RO"/>
              </w:rPr>
              <w:t>Proiectul de act normativ nu se referă la acest subiect.</w:t>
            </w:r>
          </w:p>
          <w:p w14:paraId="4890BCAA" w14:textId="77777777" w:rsidR="00677B3F" w:rsidRPr="00A31F1C" w:rsidRDefault="00677B3F" w:rsidP="005906F6">
            <w:pPr>
              <w:ind w:firstLine="294"/>
              <w:rPr>
                <w:rFonts w:ascii="Times New Roman" w:hAnsi="Times New Roman"/>
                <w:sz w:val="24"/>
                <w:szCs w:val="24"/>
                <w:lang w:val="ro-RO"/>
              </w:rPr>
            </w:pPr>
          </w:p>
        </w:tc>
      </w:tr>
      <w:tr w:rsidR="00677B3F" w:rsidRPr="00BA72AD" w14:paraId="207C7CB5" w14:textId="77777777" w:rsidTr="005906F6">
        <w:tc>
          <w:tcPr>
            <w:tcW w:w="2683" w:type="dxa"/>
            <w:gridSpan w:val="2"/>
          </w:tcPr>
          <w:p w14:paraId="41DFB619"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2. Schimbări preconizate</w:t>
            </w:r>
          </w:p>
        </w:tc>
        <w:tc>
          <w:tcPr>
            <w:tcW w:w="7752" w:type="dxa"/>
            <w:gridSpan w:val="9"/>
          </w:tcPr>
          <w:p w14:paraId="3E59B2BA" w14:textId="4F85EAF7" w:rsidR="00677B3F" w:rsidRPr="001D705D" w:rsidRDefault="00677B3F" w:rsidP="00B54701">
            <w:pPr>
              <w:spacing w:after="120" w:line="240" w:lineRule="auto"/>
              <w:ind w:firstLine="274"/>
              <w:rPr>
                <w:rFonts w:ascii="Times New Roman" w:hAnsi="Times New Roman"/>
                <w:sz w:val="24"/>
                <w:szCs w:val="24"/>
                <w:lang w:val="ro-RO"/>
              </w:rPr>
            </w:pPr>
            <w:r w:rsidRPr="001D705D">
              <w:rPr>
                <w:rFonts w:ascii="Times New Roman" w:hAnsi="Times New Roman"/>
                <w:sz w:val="24"/>
                <w:szCs w:val="24"/>
                <w:lang w:val="ro-RO"/>
              </w:rPr>
              <w:t xml:space="preserve">Promovarea prezentului proiect de act normativ are drept scop modificarea </w:t>
            </w:r>
            <w:r w:rsidRPr="008B4309">
              <w:rPr>
                <w:rFonts w:ascii="Times New Roman" w:hAnsi="Times New Roman"/>
                <w:sz w:val="24"/>
                <w:szCs w:val="24"/>
                <w:lang w:val="ro-RO"/>
              </w:rPr>
              <w:t>Hotărârii Guvernului nr. 221/2020 privind aprobarea ocupării temporare a terenului în suprafaţă de 16,8810 ha, din fondul forestier naţional, de către Societatea Națională de Transport Gaze Naturale ”Transgaz” SA Mediaș, pentru proiectul de importanță națională în domeniul gazelor naturale „Conductă de transport gaze naturale DN 250 Pojorâta – Vatra Dornei”</w:t>
            </w:r>
            <w:r w:rsidRPr="001D705D">
              <w:rPr>
                <w:rFonts w:ascii="Times New Roman" w:hAnsi="Times New Roman"/>
                <w:sz w:val="24"/>
                <w:szCs w:val="24"/>
                <w:lang w:val="ro-RO"/>
              </w:rPr>
              <w:t>.</w:t>
            </w:r>
          </w:p>
          <w:p w14:paraId="122A54A7" w14:textId="77777777" w:rsidR="00677B3F" w:rsidRPr="001D705D" w:rsidRDefault="00677B3F" w:rsidP="00B54701">
            <w:pPr>
              <w:spacing w:after="120" w:line="240" w:lineRule="auto"/>
              <w:ind w:firstLine="274"/>
              <w:rPr>
                <w:rFonts w:ascii="Times New Roman" w:hAnsi="Times New Roman"/>
                <w:sz w:val="24"/>
                <w:szCs w:val="24"/>
                <w:lang w:val="ro-RO"/>
              </w:rPr>
            </w:pPr>
            <w:r w:rsidRPr="001D705D">
              <w:rPr>
                <w:rFonts w:ascii="Times New Roman" w:hAnsi="Times New Roman"/>
                <w:sz w:val="24"/>
                <w:szCs w:val="24"/>
                <w:lang w:val="ro-RO"/>
              </w:rPr>
              <w:t xml:space="preserve">Conform modificărilor preconizate, ocuparea temporară a terenului forestier va fi pentru suprafața de </w:t>
            </w:r>
            <w:r w:rsidRPr="008B4309">
              <w:rPr>
                <w:rFonts w:ascii="Times New Roman" w:hAnsi="Times New Roman"/>
                <w:sz w:val="24"/>
                <w:szCs w:val="24"/>
                <w:lang w:val="ro-RO"/>
              </w:rPr>
              <w:t>16,5290 ha</w:t>
            </w:r>
            <w:r w:rsidRPr="001D705D">
              <w:rPr>
                <w:rFonts w:ascii="Times New Roman" w:hAnsi="Times New Roman"/>
                <w:sz w:val="24"/>
                <w:szCs w:val="24"/>
                <w:lang w:val="ro-RO"/>
              </w:rPr>
              <w:t>. Terenul forestier se consideră ocupat temporar pe toată durata de execuție și existență a obiectivului în fondul forestier național, conform art. 18 alin. (1) din Legea nr. 185/2016.</w:t>
            </w:r>
          </w:p>
          <w:p w14:paraId="7CFE3E4A" w14:textId="77777777" w:rsidR="00677B3F" w:rsidRPr="008B4309" w:rsidRDefault="00677B3F" w:rsidP="00B54701">
            <w:pPr>
              <w:spacing w:after="120" w:line="240" w:lineRule="auto"/>
              <w:ind w:firstLine="274"/>
              <w:rPr>
                <w:rFonts w:ascii="Times New Roman" w:hAnsi="Times New Roman"/>
                <w:sz w:val="24"/>
                <w:szCs w:val="24"/>
                <w:lang w:val="ro-RO"/>
              </w:rPr>
            </w:pPr>
            <w:r w:rsidRPr="001D705D">
              <w:rPr>
                <w:rFonts w:ascii="Times New Roman" w:hAnsi="Times New Roman"/>
                <w:sz w:val="24"/>
                <w:szCs w:val="24"/>
                <w:lang w:val="ro-RO"/>
              </w:rPr>
              <w:t xml:space="preserve">Ocuparea temporară a terenului forestier se face cu defrişarea vegetaţiei forestiere, conform </w:t>
            </w:r>
            <w:r w:rsidRPr="008B4309">
              <w:rPr>
                <w:rFonts w:ascii="Times New Roman" w:hAnsi="Times New Roman"/>
                <w:sz w:val="24"/>
                <w:szCs w:val="24"/>
                <w:lang w:val="ro-RO"/>
              </w:rPr>
              <w:t>Deciziei etapei de încadrare nr. 68/21.09.2016, revizuită în data de 31.03.2017, în data de 27.10.2017</w:t>
            </w:r>
            <w:r w:rsidRPr="001D705D">
              <w:rPr>
                <w:rFonts w:ascii="Times New Roman" w:hAnsi="Times New Roman"/>
                <w:sz w:val="24"/>
                <w:szCs w:val="24"/>
                <w:lang w:val="ro-RO"/>
              </w:rPr>
              <w:t xml:space="preserve"> </w:t>
            </w:r>
            <w:r w:rsidRPr="008B4309">
              <w:rPr>
                <w:rFonts w:ascii="Times New Roman" w:hAnsi="Times New Roman"/>
                <w:sz w:val="24"/>
                <w:szCs w:val="24"/>
                <w:lang w:val="ro-RO"/>
              </w:rPr>
              <w:t>și în data de 27.09.2021.</w:t>
            </w:r>
          </w:p>
          <w:p w14:paraId="40A8A2DB" w14:textId="77777777" w:rsidR="00677B3F" w:rsidRPr="008B4309" w:rsidRDefault="00677B3F" w:rsidP="00B54701">
            <w:pPr>
              <w:spacing w:after="120" w:line="240" w:lineRule="auto"/>
              <w:ind w:firstLine="274"/>
              <w:rPr>
                <w:rFonts w:ascii="Times New Roman" w:hAnsi="Times New Roman"/>
                <w:sz w:val="24"/>
                <w:szCs w:val="24"/>
                <w:lang w:val="ro-RO"/>
              </w:rPr>
            </w:pPr>
            <w:r w:rsidRPr="008B4309">
              <w:rPr>
                <w:rFonts w:ascii="Times New Roman" w:hAnsi="Times New Roman"/>
                <w:sz w:val="24"/>
                <w:szCs w:val="24"/>
                <w:lang w:val="ro-RO"/>
              </w:rPr>
              <w:t>Răspunderea pentru veridicitatea/exactitatea datelor din cuprinsul documentației justificative a proiectului, inclusiv cu privire la situația juridică a imobilelor aflate pe culoarul de lucru aferent lucrărilor proiectului, precum și veridicitatea/exactitatea documentației tehnico-economice (piese scrise și desenate) și financiare ale proiectului (modul de calcul al obligațiilor bănești) revine inițiatorului proiectului - Societatea Națională de Transport Gaze Naturale „Transgaz” SA Mediaș și autorităților emitente ale înscrisurilor din cuprinsul acesteia”.</w:t>
            </w:r>
          </w:p>
        </w:tc>
      </w:tr>
      <w:tr w:rsidR="00677B3F" w:rsidRPr="00BA72AD" w14:paraId="2E87AA2B" w14:textId="77777777" w:rsidTr="005906F6">
        <w:tc>
          <w:tcPr>
            <w:tcW w:w="2683" w:type="dxa"/>
            <w:gridSpan w:val="2"/>
          </w:tcPr>
          <w:p w14:paraId="62C8FABA"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3. Alte informaţii</w:t>
            </w:r>
          </w:p>
        </w:tc>
        <w:tc>
          <w:tcPr>
            <w:tcW w:w="7752" w:type="dxa"/>
            <w:gridSpan w:val="9"/>
          </w:tcPr>
          <w:p w14:paraId="7D512F11" w14:textId="2DD434E0" w:rsidR="00B54701" w:rsidRPr="00A31F1C" w:rsidRDefault="00677B3F" w:rsidP="00B54701">
            <w:pPr>
              <w:ind w:left="11" w:firstLine="283"/>
              <w:rPr>
                <w:rFonts w:ascii="Times New Roman" w:hAnsi="Times New Roman"/>
                <w:sz w:val="24"/>
                <w:szCs w:val="24"/>
                <w:lang w:val="ro-RO"/>
              </w:rPr>
            </w:pPr>
            <w:r w:rsidRPr="00A31F1C">
              <w:rPr>
                <w:rFonts w:ascii="Times New Roman" w:hAnsi="Times New Roman"/>
                <w:sz w:val="24"/>
                <w:szCs w:val="24"/>
                <w:lang w:val="ro-RO"/>
              </w:rPr>
              <w:t xml:space="preserve">Autoritatea Națională de Reglementare în Domeniul Energiei a emis, pentru Societatea Națională de Transport Gaze Naturale Transgaz SA, Autorizația nr. 16656/16.01.2017, destinată proiectării sistemelor de transport, sistemelor de distribuție a gazelor naturale, sistemelor de distribuție închise precum și a instalațiilor de utilizare a gazelor naturale care funcționează în regim de înaltă presiune, tip PT  . </w:t>
            </w:r>
          </w:p>
        </w:tc>
      </w:tr>
      <w:tr w:rsidR="00677B3F" w:rsidRPr="00BA72AD" w14:paraId="2092E93B" w14:textId="77777777" w:rsidTr="005906F6">
        <w:trPr>
          <w:trHeight w:val="723"/>
        </w:trPr>
        <w:tc>
          <w:tcPr>
            <w:tcW w:w="10435" w:type="dxa"/>
            <w:gridSpan w:val="11"/>
          </w:tcPr>
          <w:p w14:paraId="25980B5D" w14:textId="77777777" w:rsidR="00677B3F" w:rsidRPr="00A31F1C" w:rsidRDefault="00677B3F" w:rsidP="00B54701">
            <w:pPr>
              <w:spacing w:after="120" w:line="240" w:lineRule="auto"/>
              <w:rPr>
                <w:rFonts w:ascii="Times New Roman" w:hAnsi="Times New Roman"/>
                <w:b/>
                <w:sz w:val="24"/>
                <w:szCs w:val="24"/>
                <w:lang w:val="ro-RO"/>
              </w:rPr>
            </w:pPr>
          </w:p>
          <w:p w14:paraId="54F8BD29" w14:textId="77777777" w:rsidR="00677B3F" w:rsidRDefault="00677B3F" w:rsidP="00B54701">
            <w:pPr>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Secţiunea a 3-a: Impactul socio-economic al proiectului de act normativ</w:t>
            </w:r>
          </w:p>
          <w:p w14:paraId="657DA795" w14:textId="77777777" w:rsidR="00677B3F" w:rsidRPr="00A31F1C" w:rsidRDefault="00677B3F" w:rsidP="005906F6">
            <w:pPr>
              <w:jc w:val="left"/>
              <w:rPr>
                <w:rFonts w:ascii="Times New Roman" w:hAnsi="Times New Roman"/>
                <w:b/>
                <w:sz w:val="24"/>
                <w:szCs w:val="24"/>
                <w:lang w:val="ro-RO"/>
              </w:rPr>
            </w:pPr>
          </w:p>
        </w:tc>
      </w:tr>
      <w:tr w:rsidR="00677B3F" w:rsidRPr="00BA72AD" w14:paraId="72A53471" w14:textId="77777777" w:rsidTr="005906F6">
        <w:tc>
          <w:tcPr>
            <w:tcW w:w="2670" w:type="dxa"/>
          </w:tcPr>
          <w:p w14:paraId="3F0A37B4"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1. Impactul macroeconomic</w:t>
            </w:r>
          </w:p>
        </w:tc>
        <w:tc>
          <w:tcPr>
            <w:tcW w:w="7765" w:type="dxa"/>
            <w:gridSpan w:val="10"/>
          </w:tcPr>
          <w:p w14:paraId="0607C1DF" w14:textId="77777777" w:rsidR="00677B3F" w:rsidRPr="00A31F1C" w:rsidRDefault="00677B3F" w:rsidP="005906F6">
            <w:pPr>
              <w:ind w:firstLine="361"/>
              <w:rPr>
                <w:rFonts w:ascii="Times New Roman" w:hAnsi="Times New Roman"/>
                <w:sz w:val="24"/>
                <w:szCs w:val="24"/>
                <w:lang w:val="ro-RO"/>
              </w:rPr>
            </w:pPr>
            <w:r w:rsidRPr="00A31F1C">
              <w:rPr>
                <w:rFonts w:ascii="Times New Roman" w:eastAsia="Times New Roman" w:hAnsi="Times New Roman"/>
                <w:sz w:val="24"/>
                <w:szCs w:val="24"/>
              </w:rPr>
              <w:t xml:space="preserve">Proiectul de hotărâre respectă la cerinţele Guvernului de a promova o politică macroeconomică stabilă din punct de vedere financiar, care să asigure o execuţie bugetară prudentă, restrictivă şi echilibrată.  </w:t>
            </w:r>
          </w:p>
        </w:tc>
      </w:tr>
      <w:tr w:rsidR="00677B3F" w:rsidRPr="00BA72AD" w14:paraId="57E299FB" w14:textId="77777777" w:rsidTr="005906F6">
        <w:trPr>
          <w:trHeight w:val="1152"/>
        </w:trPr>
        <w:tc>
          <w:tcPr>
            <w:tcW w:w="2670" w:type="dxa"/>
          </w:tcPr>
          <w:p w14:paraId="46D9C83D"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1</w:t>
            </w:r>
            <w:r w:rsidRPr="00A31F1C">
              <w:rPr>
                <w:rFonts w:ascii="Times New Roman" w:hAnsi="Times New Roman"/>
                <w:sz w:val="24"/>
                <w:szCs w:val="24"/>
                <w:vertAlign w:val="superscript"/>
                <w:lang w:val="ro-RO"/>
              </w:rPr>
              <w:t>1</w:t>
            </w:r>
            <w:r w:rsidRPr="00A31F1C">
              <w:rPr>
                <w:rFonts w:ascii="Times New Roman" w:hAnsi="Times New Roman"/>
                <w:sz w:val="24"/>
                <w:szCs w:val="24"/>
                <w:lang w:val="ro-RO"/>
              </w:rPr>
              <w:t>.Impactul asupra mediului concurenţial şi domeniului ajutoarelor de stat</w:t>
            </w:r>
          </w:p>
        </w:tc>
        <w:tc>
          <w:tcPr>
            <w:tcW w:w="7765" w:type="dxa"/>
            <w:gridSpan w:val="10"/>
          </w:tcPr>
          <w:p w14:paraId="2BE3A94C" w14:textId="77777777" w:rsidR="00677B3F" w:rsidRPr="00A31F1C" w:rsidRDefault="00677B3F" w:rsidP="005906F6">
            <w:pPr>
              <w:ind w:firstLine="361"/>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tc>
      </w:tr>
      <w:tr w:rsidR="00677B3F" w:rsidRPr="00BA72AD" w14:paraId="709DD8EE" w14:textId="77777777" w:rsidTr="005906F6">
        <w:trPr>
          <w:trHeight w:val="590"/>
        </w:trPr>
        <w:tc>
          <w:tcPr>
            <w:tcW w:w="2670" w:type="dxa"/>
          </w:tcPr>
          <w:p w14:paraId="2B3A1611"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lastRenderedPageBreak/>
              <w:t>2. Impactul asupra mediului de afaceri</w:t>
            </w:r>
          </w:p>
        </w:tc>
        <w:tc>
          <w:tcPr>
            <w:tcW w:w="7765" w:type="dxa"/>
            <w:gridSpan w:val="10"/>
          </w:tcPr>
          <w:p w14:paraId="6E6D4285" w14:textId="77777777" w:rsidR="00677B3F" w:rsidRPr="00A31F1C" w:rsidRDefault="00677B3F" w:rsidP="005906F6">
            <w:pPr>
              <w:ind w:firstLine="361"/>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tc>
      </w:tr>
      <w:tr w:rsidR="00677B3F" w:rsidRPr="00BA72AD" w14:paraId="08D1CDDD" w14:textId="77777777" w:rsidTr="005906F6">
        <w:tc>
          <w:tcPr>
            <w:tcW w:w="2670" w:type="dxa"/>
          </w:tcPr>
          <w:p w14:paraId="729822F6"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3. Impactul social</w:t>
            </w:r>
          </w:p>
        </w:tc>
        <w:tc>
          <w:tcPr>
            <w:tcW w:w="7765" w:type="dxa"/>
            <w:gridSpan w:val="10"/>
          </w:tcPr>
          <w:p w14:paraId="518224FD" w14:textId="77777777" w:rsidR="00677B3F" w:rsidRPr="00A31F1C" w:rsidRDefault="00677B3F" w:rsidP="005906F6">
            <w:pPr>
              <w:ind w:firstLine="361"/>
              <w:rPr>
                <w:rFonts w:ascii="Times New Roman" w:hAnsi="Times New Roman"/>
                <w:bCs/>
                <w:sz w:val="24"/>
                <w:szCs w:val="24"/>
                <w:highlight w:val="yellow"/>
                <w:lang w:val="ro-RO"/>
              </w:rPr>
            </w:pPr>
            <w:r w:rsidRPr="00A31F1C">
              <w:rPr>
                <w:rFonts w:ascii="Times New Roman" w:hAnsi="Times New Roman"/>
                <w:sz w:val="24"/>
                <w:szCs w:val="24"/>
                <w:lang w:val="ro-RO"/>
              </w:rPr>
              <w:t>Proiectul de act normativ nu se referă la acest subiect</w:t>
            </w:r>
          </w:p>
        </w:tc>
      </w:tr>
      <w:tr w:rsidR="00677B3F" w:rsidRPr="00BA72AD" w14:paraId="201D9BFF" w14:textId="77777777" w:rsidTr="005906F6">
        <w:tc>
          <w:tcPr>
            <w:tcW w:w="2670" w:type="dxa"/>
          </w:tcPr>
          <w:p w14:paraId="73D3437D"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 xml:space="preserve">4. Impactul asupra mediului </w:t>
            </w:r>
          </w:p>
        </w:tc>
        <w:tc>
          <w:tcPr>
            <w:tcW w:w="7765" w:type="dxa"/>
            <w:gridSpan w:val="10"/>
          </w:tcPr>
          <w:p w14:paraId="0AD1190F" w14:textId="77777777" w:rsidR="00677B3F" w:rsidRPr="00A31F1C" w:rsidRDefault="00677B3F" w:rsidP="00D64AA8">
            <w:pPr>
              <w:spacing w:after="0" w:line="240" w:lineRule="auto"/>
              <w:ind w:firstLine="360"/>
              <w:rPr>
                <w:rFonts w:ascii="Times New Roman" w:hAnsi="Times New Roman"/>
                <w:sz w:val="24"/>
                <w:szCs w:val="24"/>
                <w:lang w:val="ro-RO"/>
              </w:rPr>
            </w:pPr>
            <w:r w:rsidRPr="00A31F1C">
              <w:rPr>
                <w:rFonts w:ascii="Times New Roman" w:hAnsi="Times New Roman"/>
                <w:sz w:val="24"/>
                <w:szCs w:val="24"/>
                <w:lang w:val="ro-RO"/>
              </w:rPr>
              <w:t>Evaluarea impactului asupra mediului se realizează de către autoritatea competentă în domeniu.</w:t>
            </w:r>
          </w:p>
          <w:p w14:paraId="2E87859D" w14:textId="280FEFC7" w:rsidR="00677B3F" w:rsidRPr="00A31F1C" w:rsidRDefault="00677B3F" w:rsidP="00B54701">
            <w:pPr>
              <w:autoSpaceDE w:val="0"/>
              <w:autoSpaceDN w:val="0"/>
              <w:adjustRightInd w:val="0"/>
              <w:spacing w:line="240" w:lineRule="auto"/>
              <w:ind w:firstLine="307"/>
              <w:rPr>
                <w:rFonts w:ascii="Times New Roman" w:hAnsi="Times New Roman"/>
                <w:sz w:val="24"/>
                <w:szCs w:val="24"/>
                <w:highlight w:val="yellow"/>
                <w:lang w:val="ro-RO"/>
              </w:rPr>
            </w:pPr>
            <w:r w:rsidRPr="00A31F1C">
              <w:rPr>
                <w:rFonts w:ascii="Times New Roman" w:hAnsi="Times New Roman"/>
                <w:sz w:val="24"/>
                <w:szCs w:val="24"/>
                <w:shd w:val="clear" w:color="auto" w:fill="FFFFFF"/>
              </w:rPr>
              <w:t>Agenţia pentru Protecţia Mediului Suceava a emis Decizia etapei de încadrare nr. 68/21.09.2016, revizuită în data de 31.03.2017, în data de 27.10.2017</w:t>
            </w:r>
            <w:r w:rsidRPr="00A31F1C">
              <w:rPr>
                <w:rFonts w:ascii="Times New Roman" w:hAnsi="Times New Roman"/>
                <w:sz w:val="24"/>
                <w:szCs w:val="24"/>
                <w:lang w:val="ro-RO"/>
              </w:rPr>
              <w:t xml:space="preserve"> </w:t>
            </w:r>
            <w:r w:rsidRPr="00A31F1C">
              <w:rPr>
                <w:rFonts w:ascii="Times New Roman" w:hAnsi="Times New Roman"/>
                <w:sz w:val="24"/>
                <w:szCs w:val="24"/>
                <w:shd w:val="clear" w:color="auto" w:fill="FFFFFF"/>
              </w:rPr>
              <w:t>și în data de 27.09.2021.</w:t>
            </w:r>
          </w:p>
        </w:tc>
      </w:tr>
      <w:tr w:rsidR="00677B3F" w:rsidRPr="00BA72AD" w14:paraId="78AD0259" w14:textId="77777777" w:rsidTr="005906F6">
        <w:tc>
          <w:tcPr>
            <w:tcW w:w="2670" w:type="dxa"/>
          </w:tcPr>
          <w:p w14:paraId="2AF655D0"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5. Alte informaţii</w:t>
            </w:r>
          </w:p>
        </w:tc>
        <w:tc>
          <w:tcPr>
            <w:tcW w:w="7765" w:type="dxa"/>
            <w:gridSpan w:val="10"/>
          </w:tcPr>
          <w:p w14:paraId="4746CDAD" w14:textId="77777777" w:rsidR="00677B3F" w:rsidRPr="00A31F1C" w:rsidRDefault="00677B3F" w:rsidP="00FD0169">
            <w:pPr>
              <w:spacing w:after="120" w:line="240" w:lineRule="auto"/>
              <w:ind w:firstLine="360"/>
              <w:rPr>
                <w:rFonts w:ascii="Times New Roman" w:hAnsi="Times New Roman"/>
                <w:sz w:val="24"/>
                <w:szCs w:val="24"/>
              </w:rPr>
            </w:pPr>
            <w:r w:rsidRPr="00A31F1C">
              <w:rPr>
                <w:rFonts w:ascii="Times New Roman" w:hAnsi="Times New Roman"/>
                <w:sz w:val="24"/>
                <w:szCs w:val="24"/>
              </w:rPr>
              <w:t>Conducta de transport gaze naturale DN250, Pn40 bar în lungime de 36,085 km de la Câmpulung Moldovenesc la Vatra Dornei a fost proiectată și construită parțial în perioada 2006 în cadrul programului Utilități și Mediu la Standarde Europene în județul Suceava, ai căror indicatori tehnico-economici au fost aprobați prin HG nr. 484/16.05.2002.</w:t>
            </w:r>
          </w:p>
          <w:p w14:paraId="024D39C5" w14:textId="1A8DF51F" w:rsidR="00677B3F" w:rsidRPr="00A31F1C" w:rsidRDefault="00D64AA8" w:rsidP="00FD0169">
            <w:pPr>
              <w:spacing w:after="120" w:line="240" w:lineRule="auto"/>
              <w:ind w:firstLine="360"/>
              <w:rPr>
                <w:rFonts w:ascii="Times New Roman" w:hAnsi="Times New Roman"/>
                <w:sz w:val="24"/>
                <w:szCs w:val="24"/>
              </w:rPr>
            </w:pPr>
            <w:r>
              <w:rPr>
                <w:rFonts w:ascii="Times New Roman" w:hAnsi="Times New Roman"/>
                <w:sz w:val="24"/>
                <w:szCs w:val="24"/>
              </w:rPr>
              <w:t>Î</w:t>
            </w:r>
            <w:r w:rsidR="00677B3F" w:rsidRPr="00A31F1C">
              <w:rPr>
                <w:rFonts w:ascii="Times New Roman" w:hAnsi="Times New Roman"/>
                <w:sz w:val="24"/>
                <w:szCs w:val="24"/>
              </w:rPr>
              <w:t>n cursul anului 2009 s-au efectuat demersurile pentru preluarea de către operatorul de transport  SNTGN Transgaz SA Medias a tuturor conductelor de transport gaze executate în cadrul acestui program.</w:t>
            </w:r>
          </w:p>
          <w:p w14:paraId="67ADFED3" w14:textId="77777777" w:rsidR="00677B3F" w:rsidRPr="00A31F1C" w:rsidRDefault="00677B3F" w:rsidP="00FD0169">
            <w:pPr>
              <w:spacing w:after="120" w:line="240" w:lineRule="auto"/>
              <w:ind w:firstLine="360"/>
              <w:rPr>
                <w:rFonts w:ascii="Times New Roman" w:hAnsi="Times New Roman"/>
                <w:sz w:val="24"/>
                <w:szCs w:val="24"/>
              </w:rPr>
            </w:pPr>
            <w:r w:rsidRPr="00A31F1C">
              <w:rPr>
                <w:rFonts w:ascii="Times New Roman" w:hAnsi="Times New Roman"/>
                <w:sz w:val="24"/>
                <w:szCs w:val="24"/>
              </w:rPr>
              <w:t>După efectuarea analizei starii tehnice și a documentațiilor tehnico-economice acestea au fost predate definitiv și cu titlu gratuit de către Consiliul judetean Suceava în patrimoniul SNTGN Transgaz SA Mediaș.</w:t>
            </w:r>
          </w:p>
          <w:p w14:paraId="1915D0B4" w14:textId="76D68E14" w:rsidR="00677B3F" w:rsidRPr="00A31F1C" w:rsidRDefault="00D64AA8" w:rsidP="00FD0169">
            <w:pPr>
              <w:spacing w:after="120" w:line="240" w:lineRule="auto"/>
              <w:ind w:firstLine="360"/>
              <w:rPr>
                <w:rFonts w:ascii="Times New Roman" w:hAnsi="Times New Roman"/>
                <w:sz w:val="24"/>
                <w:szCs w:val="24"/>
              </w:rPr>
            </w:pPr>
            <w:r>
              <w:rPr>
                <w:rFonts w:ascii="Times New Roman" w:hAnsi="Times New Roman"/>
                <w:sz w:val="24"/>
                <w:szCs w:val="24"/>
              </w:rPr>
              <w:t>Î</w:t>
            </w:r>
            <w:r w:rsidR="00677B3F" w:rsidRPr="00A31F1C">
              <w:rPr>
                <w:rFonts w:ascii="Times New Roman" w:hAnsi="Times New Roman"/>
                <w:sz w:val="24"/>
                <w:szCs w:val="24"/>
              </w:rPr>
              <w:t>n zona localităților Pojorâta,Valea Putnei, zona muntoasă cu acces dificil pentru efectuarea lucrărilor de montaj, tronsonul de conductă Câmpulung Moldovenesc – Vatra Dornei nu a fost realizat, iar de la faza de proiectare și până în prezent s-au executat lucrări de reabilitare și modernizare a drumului național DN 17 Suceava – Bistrița. Acestea au constat din: suprainalțarea drumului, lărgirea părții carosabile, lucrări de drenaj a apelor pluviale, lucrări de consolidare a albiei părăului Valea Putnei în zonele de paralelism a acestuia cu drumul național DN 17, devieri ale rețelelor existente în zonă (linii electrice, linii telefonice), practicarea unor zone de refug</w:t>
            </w:r>
          </w:p>
          <w:p w14:paraId="74F45105" w14:textId="77777777" w:rsidR="00677B3F" w:rsidRPr="00A31F1C" w:rsidRDefault="00677B3F" w:rsidP="00FD0169">
            <w:pPr>
              <w:spacing w:after="120" w:line="240" w:lineRule="auto"/>
              <w:ind w:firstLine="360"/>
              <w:rPr>
                <w:rFonts w:ascii="Times New Roman" w:hAnsi="Times New Roman"/>
                <w:sz w:val="24"/>
                <w:szCs w:val="24"/>
              </w:rPr>
            </w:pPr>
            <w:r w:rsidRPr="00A31F1C">
              <w:rPr>
                <w:rFonts w:ascii="Times New Roman" w:hAnsi="Times New Roman"/>
                <w:sz w:val="24"/>
                <w:szCs w:val="24"/>
              </w:rPr>
              <w:t>Pentru punerea în siguranță a conductei conform normativului în vigoare se impune pentru tronsonul de conductă Câmpulung Moldovenesc -Vatra-Dornei alegerea unui alt traseu și refacerea proiectului. Conform programului de dezvoltare al S.N.T.G.N. Transgaz SA Medias pentru anul 2013, intr-o primă etapă au fost executați 9276 m de conductă aferenți transonului Câmpulung Moldovenesc – Pojorâta, urmând ca în perioada următoare, TRANSGAZ să finalizeze investiția.</w:t>
            </w:r>
          </w:p>
          <w:p w14:paraId="1A2781D8" w14:textId="746258EB" w:rsidR="00677B3F" w:rsidRPr="00B54701" w:rsidRDefault="00677B3F" w:rsidP="00B54701">
            <w:pPr>
              <w:spacing w:after="120" w:line="240" w:lineRule="auto"/>
              <w:ind w:firstLine="360"/>
              <w:rPr>
                <w:rFonts w:ascii="Times New Roman" w:hAnsi="Times New Roman"/>
                <w:sz w:val="24"/>
                <w:szCs w:val="24"/>
              </w:rPr>
            </w:pPr>
            <w:r w:rsidRPr="00A31F1C">
              <w:rPr>
                <w:rFonts w:ascii="Times New Roman" w:hAnsi="Times New Roman"/>
                <w:sz w:val="24"/>
                <w:szCs w:val="24"/>
              </w:rPr>
              <w:t xml:space="preserve">Pentru finalizarea întregii investiții este necesară obținerea Autorizației de Construire, pentru tronsonul Pojorâta – Vatra Dornei cu lungimea de 26,394 km. </w:t>
            </w:r>
            <w:r w:rsidR="00D64AA8">
              <w:rPr>
                <w:rFonts w:ascii="Times New Roman" w:hAnsi="Times New Roman"/>
                <w:sz w:val="24"/>
                <w:szCs w:val="24"/>
              </w:rPr>
              <w:t>Î</w:t>
            </w:r>
            <w:r w:rsidRPr="00A31F1C">
              <w:rPr>
                <w:rFonts w:ascii="Times New Roman" w:hAnsi="Times New Roman"/>
                <w:sz w:val="24"/>
                <w:szCs w:val="24"/>
              </w:rPr>
              <w:t>n acest sens s-a emis Hotârărea Guvern</w:t>
            </w:r>
            <w:r w:rsidR="00D64AA8">
              <w:rPr>
                <w:rFonts w:ascii="Times New Roman" w:hAnsi="Times New Roman"/>
                <w:sz w:val="24"/>
                <w:szCs w:val="24"/>
              </w:rPr>
              <w:t>ului</w:t>
            </w:r>
            <w:r w:rsidRPr="00A31F1C">
              <w:rPr>
                <w:rFonts w:ascii="Times New Roman" w:hAnsi="Times New Roman"/>
                <w:sz w:val="24"/>
                <w:szCs w:val="24"/>
              </w:rPr>
              <w:t xml:space="preserve"> nr. 456/2019, fiind declarat proiect de importanță națională în domeniul gazelor naturale . In acest context proiectul beneficiază de prevederile </w:t>
            </w:r>
            <w:r w:rsidR="00805374">
              <w:rPr>
                <w:rFonts w:ascii="Times New Roman" w:hAnsi="Times New Roman"/>
                <w:sz w:val="24"/>
                <w:szCs w:val="24"/>
              </w:rPr>
              <w:t>L</w:t>
            </w:r>
            <w:r w:rsidRPr="00A31F1C">
              <w:rPr>
                <w:rFonts w:ascii="Times New Roman" w:hAnsi="Times New Roman"/>
                <w:sz w:val="24"/>
                <w:szCs w:val="24"/>
              </w:rPr>
              <w:t xml:space="preserve">egii nr. 185/2016 privind măsurile necesare pentru implementarea proiectelor de importanță națională în domeniul gazelor naturale.   </w:t>
            </w:r>
          </w:p>
        </w:tc>
      </w:tr>
      <w:tr w:rsidR="00677B3F" w:rsidRPr="00BA72AD" w14:paraId="322CE417" w14:textId="77777777" w:rsidTr="005906F6">
        <w:tc>
          <w:tcPr>
            <w:tcW w:w="10435" w:type="dxa"/>
            <w:gridSpan w:val="11"/>
          </w:tcPr>
          <w:p w14:paraId="20400A18" w14:textId="77777777" w:rsidR="00677B3F" w:rsidRPr="00A31F1C" w:rsidRDefault="00677B3F" w:rsidP="00B54701">
            <w:pPr>
              <w:spacing w:after="120" w:line="240" w:lineRule="auto"/>
              <w:jc w:val="center"/>
              <w:rPr>
                <w:rFonts w:ascii="Times New Roman" w:hAnsi="Times New Roman"/>
                <w:b/>
                <w:sz w:val="24"/>
                <w:szCs w:val="24"/>
                <w:lang w:val="ro-RO"/>
              </w:rPr>
            </w:pPr>
          </w:p>
          <w:p w14:paraId="53CFF4A3" w14:textId="77777777" w:rsidR="00677B3F" w:rsidRPr="00A31F1C" w:rsidRDefault="00677B3F" w:rsidP="00B54701">
            <w:pPr>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Secţiunea a 4-a: Impactul financiar asupra bugetului general consolidat, atât pe termen scurt, pentru anul curent, cât şi pe termen lung (pe 5 ani)</w:t>
            </w:r>
          </w:p>
          <w:p w14:paraId="63E70EBA" w14:textId="30107018" w:rsidR="00677B3F" w:rsidRPr="00A31F1C" w:rsidRDefault="00677B3F" w:rsidP="00FD0169">
            <w:pPr>
              <w:rPr>
                <w:rFonts w:ascii="Times New Roman" w:hAnsi="Times New Roman"/>
                <w:sz w:val="24"/>
                <w:szCs w:val="24"/>
                <w:lang w:val="ro-RO"/>
              </w:rPr>
            </w:pPr>
            <w:r w:rsidRPr="00A31F1C">
              <w:rPr>
                <w:rFonts w:ascii="Times New Roman" w:hAnsi="Times New Roman"/>
                <w:sz w:val="24"/>
                <w:szCs w:val="24"/>
                <w:lang w:val="ro-RO"/>
              </w:rPr>
              <w:t>Proiectul de act normativ nu are impact asupra bugetului general consolidat</w:t>
            </w:r>
          </w:p>
        </w:tc>
      </w:tr>
      <w:tr w:rsidR="00677B3F" w:rsidRPr="00BA72AD" w14:paraId="00651524" w14:textId="77777777" w:rsidTr="005906F6">
        <w:tc>
          <w:tcPr>
            <w:tcW w:w="10435" w:type="dxa"/>
            <w:gridSpan w:val="11"/>
          </w:tcPr>
          <w:p w14:paraId="7F371D1E" w14:textId="77777777" w:rsidR="00677B3F" w:rsidRPr="00A31F1C" w:rsidRDefault="00677B3F" w:rsidP="005906F6">
            <w:pPr>
              <w:spacing w:line="360" w:lineRule="auto"/>
              <w:jc w:val="right"/>
              <w:rPr>
                <w:rFonts w:ascii="Times New Roman" w:hAnsi="Times New Roman"/>
                <w:sz w:val="24"/>
                <w:szCs w:val="24"/>
                <w:lang w:val="ro-RO"/>
              </w:rPr>
            </w:pPr>
            <w:r w:rsidRPr="00A31F1C">
              <w:rPr>
                <w:rFonts w:ascii="Times New Roman" w:hAnsi="Times New Roman"/>
                <w:sz w:val="24"/>
                <w:szCs w:val="24"/>
                <w:lang w:val="ro-RO"/>
              </w:rPr>
              <w:t>- mii lei -</w:t>
            </w:r>
          </w:p>
        </w:tc>
      </w:tr>
      <w:tr w:rsidR="00677B3F" w:rsidRPr="00BA72AD" w14:paraId="0A5AD890" w14:textId="77777777" w:rsidTr="005906F6">
        <w:trPr>
          <w:trHeight w:val="564"/>
        </w:trPr>
        <w:tc>
          <w:tcPr>
            <w:tcW w:w="4478" w:type="dxa"/>
            <w:gridSpan w:val="3"/>
          </w:tcPr>
          <w:p w14:paraId="40E8C8B1"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Indicatori</w:t>
            </w:r>
          </w:p>
        </w:tc>
        <w:tc>
          <w:tcPr>
            <w:tcW w:w="900" w:type="dxa"/>
            <w:gridSpan w:val="2"/>
          </w:tcPr>
          <w:p w14:paraId="3D67F423" w14:textId="77777777" w:rsidR="00677B3F" w:rsidRPr="00A31F1C" w:rsidRDefault="00677B3F" w:rsidP="005906F6">
            <w:pPr>
              <w:jc w:val="center"/>
              <w:rPr>
                <w:rFonts w:ascii="Times New Roman" w:hAnsi="Times New Roman"/>
                <w:sz w:val="24"/>
                <w:szCs w:val="24"/>
                <w:lang w:val="ro-RO"/>
              </w:rPr>
            </w:pPr>
            <w:r w:rsidRPr="00A31F1C">
              <w:rPr>
                <w:rFonts w:ascii="Times New Roman" w:hAnsi="Times New Roman"/>
                <w:sz w:val="24"/>
                <w:szCs w:val="24"/>
                <w:lang w:val="ro-RO"/>
              </w:rPr>
              <w:t>Anul</w:t>
            </w:r>
          </w:p>
          <w:p w14:paraId="580DAFAA" w14:textId="77777777" w:rsidR="00677B3F" w:rsidRPr="00A31F1C" w:rsidRDefault="00677B3F" w:rsidP="005906F6">
            <w:pPr>
              <w:jc w:val="center"/>
              <w:rPr>
                <w:rFonts w:ascii="Times New Roman" w:hAnsi="Times New Roman"/>
                <w:sz w:val="24"/>
                <w:szCs w:val="24"/>
                <w:lang w:val="ro-RO"/>
              </w:rPr>
            </w:pPr>
            <w:r w:rsidRPr="00A31F1C">
              <w:rPr>
                <w:rFonts w:ascii="Times New Roman" w:hAnsi="Times New Roman"/>
                <w:sz w:val="24"/>
                <w:szCs w:val="24"/>
                <w:lang w:val="ro-RO"/>
              </w:rPr>
              <w:t>curent</w:t>
            </w:r>
          </w:p>
        </w:tc>
        <w:tc>
          <w:tcPr>
            <w:tcW w:w="4042" w:type="dxa"/>
            <w:gridSpan w:val="5"/>
          </w:tcPr>
          <w:p w14:paraId="2018FB81" w14:textId="77777777" w:rsidR="00677B3F" w:rsidRPr="00A31F1C" w:rsidRDefault="00677B3F" w:rsidP="005906F6">
            <w:pPr>
              <w:jc w:val="center"/>
              <w:rPr>
                <w:rFonts w:ascii="Times New Roman" w:hAnsi="Times New Roman"/>
                <w:sz w:val="24"/>
                <w:szCs w:val="24"/>
                <w:lang w:val="ro-RO"/>
              </w:rPr>
            </w:pPr>
            <w:r w:rsidRPr="00A31F1C">
              <w:rPr>
                <w:rFonts w:ascii="Times New Roman" w:hAnsi="Times New Roman"/>
                <w:sz w:val="24"/>
                <w:szCs w:val="24"/>
                <w:lang w:val="ro-RO"/>
              </w:rPr>
              <w:t>Următorii</w:t>
            </w:r>
          </w:p>
          <w:p w14:paraId="7975492B" w14:textId="77777777" w:rsidR="00677B3F" w:rsidRPr="00A31F1C" w:rsidRDefault="00677B3F" w:rsidP="005906F6">
            <w:pPr>
              <w:jc w:val="center"/>
              <w:rPr>
                <w:rFonts w:ascii="Times New Roman" w:hAnsi="Times New Roman"/>
                <w:sz w:val="24"/>
                <w:szCs w:val="24"/>
                <w:lang w:val="ro-RO"/>
              </w:rPr>
            </w:pPr>
            <w:r w:rsidRPr="00A31F1C">
              <w:rPr>
                <w:rFonts w:ascii="Times New Roman" w:hAnsi="Times New Roman"/>
                <w:sz w:val="24"/>
                <w:szCs w:val="24"/>
                <w:lang w:val="ro-RO"/>
              </w:rPr>
              <w:t>4 ani</w:t>
            </w:r>
          </w:p>
        </w:tc>
        <w:tc>
          <w:tcPr>
            <w:tcW w:w="1015" w:type="dxa"/>
          </w:tcPr>
          <w:p w14:paraId="2384F780" w14:textId="77777777" w:rsidR="00677B3F" w:rsidRPr="00A31F1C" w:rsidRDefault="00677B3F" w:rsidP="005906F6">
            <w:pPr>
              <w:jc w:val="center"/>
              <w:rPr>
                <w:rFonts w:ascii="Times New Roman" w:hAnsi="Times New Roman"/>
                <w:sz w:val="24"/>
                <w:szCs w:val="24"/>
                <w:lang w:val="ro-RO"/>
              </w:rPr>
            </w:pPr>
            <w:r w:rsidRPr="00A31F1C">
              <w:rPr>
                <w:rFonts w:ascii="Times New Roman" w:hAnsi="Times New Roman"/>
                <w:sz w:val="24"/>
                <w:szCs w:val="24"/>
                <w:lang w:val="ro-RO"/>
              </w:rPr>
              <w:t>Media</w:t>
            </w:r>
          </w:p>
          <w:p w14:paraId="3F17AD29" w14:textId="77777777" w:rsidR="00677B3F" w:rsidRPr="00A31F1C" w:rsidRDefault="00677B3F" w:rsidP="005906F6">
            <w:pPr>
              <w:jc w:val="center"/>
              <w:rPr>
                <w:rFonts w:ascii="Times New Roman" w:hAnsi="Times New Roman"/>
                <w:sz w:val="24"/>
                <w:szCs w:val="24"/>
                <w:lang w:val="ro-RO"/>
              </w:rPr>
            </w:pPr>
            <w:r w:rsidRPr="00A31F1C">
              <w:rPr>
                <w:rFonts w:ascii="Times New Roman" w:hAnsi="Times New Roman"/>
                <w:sz w:val="24"/>
                <w:szCs w:val="24"/>
                <w:lang w:val="ro-RO"/>
              </w:rPr>
              <w:t>pe 5 ani</w:t>
            </w:r>
          </w:p>
        </w:tc>
      </w:tr>
      <w:tr w:rsidR="00677B3F" w:rsidRPr="00BA72AD" w14:paraId="678CF16F" w14:textId="77777777" w:rsidTr="005906F6">
        <w:trPr>
          <w:trHeight w:val="170"/>
        </w:trPr>
        <w:tc>
          <w:tcPr>
            <w:tcW w:w="4478" w:type="dxa"/>
            <w:gridSpan w:val="3"/>
          </w:tcPr>
          <w:p w14:paraId="5A32B78B"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1</w:t>
            </w:r>
          </w:p>
        </w:tc>
        <w:tc>
          <w:tcPr>
            <w:tcW w:w="900" w:type="dxa"/>
            <w:gridSpan w:val="2"/>
          </w:tcPr>
          <w:p w14:paraId="66B84847"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2</w:t>
            </w:r>
          </w:p>
        </w:tc>
        <w:tc>
          <w:tcPr>
            <w:tcW w:w="1072" w:type="dxa"/>
          </w:tcPr>
          <w:p w14:paraId="46B9C481"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3</w:t>
            </w:r>
          </w:p>
        </w:tc>
        <w:tc>
          <w:tcPr>
            <w:tcW w:w="990" w:type="dxa"/>
            <w:gridSpan w:val="2"/>
          </w:tcPr>
          <w:p w14:paraId="5FB4543D"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4</w:t>
            </w:r>
          </w:p>
        </w:tc>
        <w:tc>
          <w:tcPr>
            <w:tcW w:w="990" w:type="dxa"/>
          </w:tcPr>
          <w:p w14:paraId="24109E06"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5</w:t>
            </w:r>
          </w:p>
        </w:tc>
        <w:tc>
          <w:tcPr>
            <w:tcW w:w="990" w:type="dxa"/>
          </w:tcPr>
          <w:p w14:paraId="2C8B1B4E"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6</w:t>
            </w:r>
          </w:p>
        </w:tc>
        <w:tc>
          <w:tcPr>
            <w:tcW w:w="1015" w:type="dxa"/>
          </w:tcPr>
          <w:p w14:paraId="6FA351FB"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7</w:t>
            </w:r>
          </w:p>
        </w:tc>
      </w:tr>
      <w:tr w:rsidR="00677B3F" w:rsidRPr="00BA72AD" w14:paraId="05D132E2" w14:textId="77777777" w:rsidTr="005906F6">
        <w:tc>
          <w:tcPr>
            <w:tcW w:w="4478" w:type="dxa"/>
            <w:gridSpan w:val="3"/>
          </w:tcPr>
          <w:p w14:paraId="251714DB" w14:textId="77777777" w:rsidR="00677B3F" w:rsidRPr="00A31F1C" w:rsidRDefault="00677B3F" w:rsidP="005906F6">
            <w:pPr>
              <w:spacing w:line="360" w:lineRule="auto"/>
              <w:jc w:val="center"/>
              <w:rPr>
                <w:rFonts w:ascii="Times New Roman" w:hAnsi="Times New Roman"/>
                <w:sz w:val="24"/>
                <w:szCs w:val="24"/>
                <w:lang w:val="ro-RO"/>
              </w:rPr>
            </w:pPr>
          </w:p>
        </w:tc>
        <w:tc>
          <w:tcPr>
            <w:tcW w:w="900" w:type="dxa"/>
            <w:gridSpan w:val="2"/>
          </w:tcPr>
          <w:p w14:paraId="0187CDC2"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2021</w:t>
            </w:r>
          </w:p>
        </w:tc>
        <w:tc>
          <w:tcPr>
            <w:tcW w:w="1072" w:type="dxa"/>
          </w:tcPr>
          <w:p w14:paraId="51ED47CB"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2022</w:t>
            </w:r>
          </w:p>
        </w:tc>
        <w:tc>
          <w:tcPr>
            <w:tcW w:w="990" w:type="dxa"/>
            <w:gridSpan w:val="2"/>
          </w:tcPr>
          <w:p w14:paraId="16E8190E"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2023</w:t>
            </w:r>
          </w:p>
        </w:tc>
        <w:tc>
          <w:tcPr>
            <w:tcW w:w="990" w:type="dxa"/>
          </w:tcPr>
          <w:p w14:paraId="6115F903"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2024</w:t>
            </w:r>
          </w:p>
        </w:tc>
        <w:tc>
          <w:tcPr>
            <w:tcW w:w="990" w:type="dxa"/>
          </w:tcPr>
          <w:p w14:paraId="22FEDA82" w14:textId="77777777" w:rsidR="00677B3F" w:rsidRPr="00A31F1C" w:rsidRDefault="00677B3F" w:rsidP="005906F6">
            <w:pPr>
              <w:spacing w:line="360" w:lineRule="auto"/>
              <w:jc w:val="center"/>
              <w:rPr>
                <w:rFonts w:ascii="Times New Roman" w:hAnsi="Times New Roman"/>
                <w:sz w:val="24"/>
                <w:szCs w:val="24"/>
                <w:lang w:val="ro-RO"/>
              </w:rPr>
            </w:pPr>
            <w:r w:rsidRPr="00A31F1C">
              <w:rPr>
                <w:rFonts w:ascii="Times New Roman" w:hAnsi="Times New Roman"/>
                <w:sz w:val="24"/>
                <w:szCs w:val="24"/>
                <w:lang w:val="ro-RO"/>
              </w:rPr>
              <w:t>2025</w:t>
            </w:r>
          </w:p>
        </w:tc>
        <w:tc>
          <w:tcPr>
            <w:tcW w:w="1015" w:type="dxa"/>
          </w:tcPr>
          <w:p w14:paraId="26116EB7"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r>
      <w:tr w:rsidR="00677B3F" w:rsidRPr="00BA72AD" w14:paraId="2501E1E9" w14:textId="77777777" w:rsidTr="005906F6">
        <w:trPr>
          <w:trHeight w:val="330"/>
        </w:trPr>
        <w:tc>
          <w:tcPr>
            <w:tcW w:w="4478" w:type="dxa"/>
            <w:gridSpan w:val="3"/>
            <w:vMerge w:val="restart"/>
          </w:tcPr>
          <w:p w14:paraId="4599B7C2"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Modificări ale veniturilor bugetare, plus/minus, din care:</w:t>
            </w:r>
          </w:p>
          <w:p w14:paraId="352B5509" w14:textId="77777777" w:rsidR="00677B3F" w:rsidRPr="00A31F1C" w:rsidRDefault="00677B3F" w:rsidP="00677B3F">
            <w:pPr>
              <w:numPr>
                <w:ilvl w:val="0"/>
                <w:numId w:val="1"/>
              </w:numPr>
              <w:spacing w:after="0" w:line="240" w:lineRule="auto"/>
              <w:rPr>
                <w:rFonts w:ascii="Times New Roman" w:hAnsi="Times New Roman"/>
                <w:sz w:val="24"/>
                <w:szCs w:val="24"/>
                <w:lang w:val="ro-RO"/>
              </w:rPr>
            </w:pPr>
            <w:r w:rsidRPr="00A31F1C">
              <w:rPr>
                <w:rFonts w:ascii="Times New Roman" w:hAnsi="Times New Roman"/>
                <w:sz w:val="24"/>
                <w:szCs w:val="24"/>
                <w:lang w:val="ro-RO"/>
              </w:rPr>
              <w:t>buget de stat, din acesta:</w:t>
            </w:r>
          </w:p>
          <w:p w14:paraId="5A69FFA7" w14:textId="77777777" w:rsidR="00677B3F" w:rsidRPr="00A31F1C" w:rsidRDefault="00677B3F" w:rsidP="00677B3F">
            <w:pPr>
              <w:numPr>
                <w:ilvl w:val="0"/>
                <w:numId w:val="2"/>
              </w:numPr>
              <w:tabs>
                <w:tab w:val="clear" w:pos="1080"/>
                <w:tab w:val="left" w:pos="720"/>
                <w:tab w:val="num" w:pos="900"/>
              </w:tabs>
              <w:spacing w:after="0" w:line="240" w:lineRule="auto"/>
              <w:ind w:left="360" w:firstLine="0"/>
              <w:rPr>
                <w:rFonts w:ascii="Times New Roman" w:hAnsi="Times New Roman"/>
                <w:sz w:val="24"/>
                <w:szCs w:val="24"/>
                <w:lang w:val="ro-RO"/>
              </w:rPr>
            </w:pPr>
            <w:r w:rsidRPr="00A31F1C">
              <w:rPr>
                <w:rFonts w:ascii="Times New Roman" w:hAnsi="Times New Roman"/>
                <w:sz w:val="24"/>
                <w:szCs w:val="24"/>
                <w:lang w:val="ro-RO"/>
              </w:rPr>
              <w:t>impozit pe profit</w:t>
            </w:r>
          </w:p>
          <w:p w14:paraId="2F818B27" w14:textId="77777777" w:rsidR="00677B3F" w:rsidRPr="00A31F1C" w:rsidRDefault="00677B3F" w:rsidP="00677B3F">
            <w:pPr>
              <w:numPr>
                <w:ilvl w:val="0"/>
                <w:numId w:val="2"/>
              </w:numPr>
              <w:tabs>
                <w:tab w:val="clear" w:pos="1080"/>
                <w:tab w:val="left" w:pos="720"/>
                <w:tab w:val="num" w:pos="900"/>
              </w:tabs>
              <w:spacing w:after="0" w:line="240" w:lineRule="auto"/>
              <w:rPr>
                <w:rFonts w:ascii="Times New Roman" w:hAnsi="Times New Roman"/>
                <w:sz w:val="24"/>
                <w:szCs w:val="24"/>
                <w:lang w:val="ro-RO"/>
              </w:rPr>
            </w:pPr>
            <w:r w:rsidRPr="00A31F1C">
              <w:rPr>
                <w:rFonts w:ascii="Times New Roman" w:hAnsi="Times New Roman"/>
                <w:sz w:val="24"/>
                <w:szCs w:val="24"/>
                <w:lang w:val="ro-RO"/>
              </w:rPr>
              <w:t>impozit pe venit</w:t>
            </w:r>
          </w:p>
          <w:p w14:paraId="17C416B6" w14:textId="77777777" w:rsidR="00677B3F" w:rsidRPr="00A31F1C" w:rsidRDefault="00677B3F" w:rsidP="00677B3F">
            <w:pPr>
              <w:numPr>
                <w:ilvl w:val="0"/>
                <w:numId w:val="1"/>
              </w:numPr>
              <w:tabs>
                <w:tab w:val="left" w:pos="720"/>
              </w:tabs>
              <w:spacing w:after="0" w:line="240" w:lineRule="auto"/>
              <w:rPr>
                <w:rFonts w:ascii="Times New Roman" w:hAnsi="Times New Roman"/>
                <w:sz w:val="24"/>
                <w:szCs w:val="24"/>
                <w:lang w:val="ro-RO"/>
              </w:rPr>
            </w:pPr>
            <w:r w:rsidRPr="00A31F1C">
              <w:rPr>
                <w:rFonts w:ascii="Times New Roman" w:hAnsi="Times New Roman"/>
                <w:sz w:val="24"/>
                <w:szCs w:val="24"/>
                <w:lang w:val="ro-RO"/>
              </w:rPr>
              <w:t>bugete locale:</w:t>
            </w:r>
          </w:p>
          <w:p w14:paraId="58A7F8CA" w14:textId="77777777" w:rsidR="00677B3F" w:rsidRPr="00A31F1C" w:rsidRDefault="00677B3F" w:rsidP="00677B3F">
            <w:pPr>
              <w:numPr>
                <w:ilvl w:val="0"/>
                <w:numId w:val="3"/>
              </w:numPr>
              <w:tabs>
                <w:tab w:val="clear" w:pos="1080"/>
                <w:tab w:val="left" w:pos="720"/>
                <w:tab w:val="num" w:pos="900"/>
              </w:tabs>
              <w:spacing w:after="0" w:line="240" w:lineRule="auto"/>
              <w:rPr>
                <w:rFonts w:ascii="Times New Roman" w:hAnsi="Times New Roman"/>
                <w:sz w:val="24"/>
                <w:szCs w:val="24"/>
                <w:lang w:val="ro-RO"/>
              </w:rPr>
            </w:pPr>
            <w:r w:rsidRPr="00A31F1C">
              <w:rPr>
                <w:rFonts w:ascii="Times New Roman" w:hAnsi="Times New Roman"/>
                <w:sz w:val="24"/>
                <w:szCs w:val="24"/>
                <w:lang w:val="ro-RO"/>
              </w:rPr>
              <w:t>impozit pe profit</w:t>
            </w:r>
          </w:p>
          <w:p w14:paraId="3F0051D2" w14:textId="77777777" w:rsidR="00677B3F" w:rsidRPr="00A31F1C" w:rsidRDefault="00677B3F" w:rsidP="00677B3F">
            <w:pPr>
              <w:numPr>
                <w:ilvl w:val="0"/>
                <w:numId w:val="1"/>
              </w:numPr>
              <w:tabs>
                <w:tab w:val="left" w:pos="720"/>
              </w:tabs>
              <w:spacing w:after="0" w:line="240" w:lineRule="auto"/>
              <w:rPr>
                <w:rFonts w:ascii="Times New Roman" w:hAnsi="Times New Roman"/>
                <w:sz w:val="24"/>
                <w:szCs w:val="24"/>
                <w:lang w:val="ro-RO"/>
              </w:rPr>
            </w:pPr>
            <w:r w:rsidRPr="00A31F1C">
              <w:rPr>
                <w:rFonts w:ascii="Times New Roman" w:hAnsi="Times New Roman"/>
                <w:sz w:val="24"/>
                <w:szCs w:val="24"/>
                <w:lang w:val="ro-RO"/>
              </w:rPr>
              <w:t>bugetul asigurărilor sociale de stat:</w:t>
            </w:r>
          </w:p>
          <w:p w14:paraId="0A4FC979" w14:textId="77777777" w:rsidR="00677B3F" w:rsidRPr="00A31F1C" w:rsidRDefault="00677B3F" w:rsidP="00677B3F">
            <w:pPr>
              <w:numPr>
                <w:ilvl w:val="0"/>
                <w:numId w:val="4"/>
              </w:numPr>
              <w:tabs>
                <w:tab w:val="clear" w:pos="1080"/>
                <w:tab w:val="left" w:pos="720"/>
                <w:tab w:val="num" w:pos="900"/>
              </w:tabs>
              <w:spacing w:after="0" w:line="240" w:lineRule="auto"/>
              <w:rPr>
                <w:rFonts w:ascii="Times New Roman" w:hAnsi="Times New Roman"/>
                <w:sz w:val="24"/>
                <w:szCs w:val="24"/>
                <w:lang w:val="ro-RO"/>
              </w:rPr>
            </w:pPr>
            <w:r w:rsidRPr="00A31F1C">
              <w:rPr>
                <w:rFonts w:ascii="Times New Roman" w:hAnsi="Times New Roman"/>
                <w:sz w:val="24"/>
                <w:szCs w:val="24"/>
                <w:lang w:val="ro-RO"/>
              </w:rPr>
              <w:t>contribuţii de asigurări</w:t>
            </w:r>
          </w:p>
        </w:tc>
        <w:tc>
          <w:tcPr>
            <w:tcW w:w="892" w:type="dxa"/>
          </w:tcPr>
          <w:p w14:paraId="31F0D4D0" w14:textId="77777777" w:rsidR="00677B3F" w:rsidRPr="00A31F1C" w:rsidRDefault="00677B3F" w:rsidP="005906F6">
            <w:pPr>
              <w:rPr>
                <w:rFonts w:ascii="Times New Roman" w:hAnsi="Times New Roman"/>
                <w:sz w:val="24"/>
                <w:szCs w:val="24"/>
                <w:lang w:val="ro-RO"/>
              </w:rPr>
            </w:pPr>
          </w:p>
        </w:tc>
        <w:tc>
          <w:tcPr>
            <w:tcW w:w="1080" w:type="dxa"/>
            <w:gridSpan w:val="2"/>
          </w:tcPr>
          <w:p w14:paraId="7F210FB1" w14:textId="77777777" w:rsidR="00677B3F" w:rsidRPr="00A31F1C" w:rsidRDefault="00677B3F" w:rsidP="005906F6">
            <w:pPr>
              <w:rPr>
                <w:rFonts w:ascii="Times New Roman" w:hAnsi="Times New Roman"/>
                <w:sz w:val="24"/>
                <w:szCs w:val="24"/>
                <w:lang w:val="ro-RO"/>
              </w:rPr>
            </w:pPr>
          </w:p>
        </w:tc>
        <w:tc>
          <w:tcPr>
            <w:tcW w:w="990" w:type="dxa"/>
            <w:gridSpan w:val="2"/>
          </w:tcPr>
          <w:p w14:paraId="3263FB3A" w14:textId="77777777" w:rsidR="00677B3F" w:rsidRPr="00A31F1C" w:rsidRDefault="00677B3F" w:rsidP="005906F6">
            <w:pPr>
              <w:rPr>
                <w:rFonts w:ascii="Times New Roman" w:hAnsi="Times New Roman"/>
                <w:sz w:val="24"/>
                <w:szCs w:val="24"/>
                <w:lang w:val="ro-RO"/>
              </w:rPr>
            </w:pPr>
          </w:p>
        </w:tc>
        <w:tc>
          <w:tcPr>
            <w:tcW w:w="990" w:type="dxa"/>
          </w:tcPr>
          <w:p w14:paraId="40A9B8B6" w14:textId="77777777" w:rsidR="00677B3F" w:rsidRPr="00A31F1C" w:rsidRDefault="00677B3F" w:rsidP="005906F6">
            <w:pPr>
              <w:rPr>
                <w:rFonts w:ascii="Times New Roman" w:hAnsi="Times New Roman"/>
                <w:sz w:val="24"/>
                <w:szCs w:val="24"/>
                <w:lang w:val="ro-RO"/>
              </w:rPr>
            </w:pPr>
          </w:p>
        </w:tc>
        <w:tc>
          <w:tcPr>
            <w:tcW w:w="990" w:type="dxa"/>
          </w:tcPr>
          <w:p w14:paraId="4A1FF363" w14:textId="77777777" w:rsidR="00677B3F" w:rsidRPr="00A31F1C" w:rsidRDefault="00677B3F" w:rsidP="005906F6">
            <w:pPr>
              <w:rPr>
                <w:rFonts w:ascii="Times New Roman" w:hAnsi="Times New Roman"/>
                <w:sz w:val="24"/>
                <w:szCs w:val="24"/>
                <w:lang w:val="ro-RO"/>
              </w:rPr>
            </w:pPr>
          </w:p>
        </w:tc>
        <w:tc>
          <w:tcPr>
            <w:tcW w:w="1015" w:type="dxa"/>
          </w:tcPr>
          <w:p w14:paraId="46C8EB91" w14:textId="77777777" w:rsidR="00677B3F" w:rsidRPr="00A31F1C" w:rsidRDefault="00677B3F" w:rsidP="005906F6">
            <w:pPr>
              <w:rPr>
                <w:rFonts w:ascii="Times New Roman" w:hAnsi="Times New Roman"/>
                <w:sz w:val="24"/>
                <w:szCs w:val="24"/>
                <w:lang w:val="ro-RO"/>
              </w:rPr>
            </w:pPr>
          </w:p>
        </w:tc>
      </w:tr>
      <w:tr w:rsidR="00677B3F" w:rsidRPr="00BA72AD" w14:paraId="215957F4" w14:textId="77777777" w:rsidTr="005906F6">
        <w:trPr>
          <w:trHeight w:val="324"/>
        </w:trPr>
        <w:tc>
          <w:tcPr>
            <w:tcW w:w="4478" w:type="dxa"/>
            <w:gridSpan w:val="3"/>
            <w:vMerge/>
          </w:tcPr>
          <w:p w14:paraId="54445F04" w14:textId="77777777" w:rsidR="00677B3F" w:rsidRPr="00A31F1C" w:rsidRDefault="00677B3F" w:rsidP="005906F6">
            <w:pPr>
              <w:rPr>
                <w:rFonts w:ascii="Times New Roman" w:hAnsi="Times New Roman"/>
                <w:sz w:val="24"/>
                <w:szCs w:val="24"/>
                <w:lang w:val="ro-RO"/>
              </w:rPr>
            </w:pPr>
          </w:p>
        </w:tc>
        <w:tc>
          <w:tcPr>
            <w:tcW w:w="892" w:type="dxa"/>
          </w:tcPr>
          <w:p w14:paraId="5DFDFF35" w14:textId="77777777" w:rsidR="00677B3F" w:rsidRPr="00A31F1C" w:rsidRDefault="00677B3F" w:rsidP="005906F6">
            <w:pPr>
              <w:rPr>
                <w:rFonts w:ascii="Times New Roman" w:hAnsi="Times New Roman"/>
                <w:sz w:val="24"/>
                <w:szCs w:val="24"/>
                <w:lang w:val="ro-RO"/>
              </w:rPr>
            </w:pPr>
          </w:p>
        </w:tc>
        <w:tc>
          <w:tcPr>
            <w:tcW w:w="1080" w:type="dxa"/>
            <w:gridSpan w:val="2"/>
          </w:tcPr>
          <w:p w14:paraId="74347D86" w14:textId="77777777" w:rsidR="00677B3F" w:rsidRPr="00A31F1C" w:rsidRDefault="00677B3F" w:rsidP="005906F6">
            <w:pPr>
              <w:rPr>
                <w:rFonts w:ascii="Times New Roman" w:hAnsi="Times New Roman"/>
                <w:sz w:val="24"/>
                <w:szCs w:val="24"/>
                <w:lang w:val="ro-RO"/>
              </w:rPr>
            </w:pPr>
          </w:p>
        </w:tc>
        <w:tc>
          <w:tcPr>
            <w:tcW w:w="990" w:type="dxa"/>
            <w:gridSpan w:val="2"/>
          </w:tcPr>
          <w:p w14:paraId="1CC085C0" w14:textId="77777777" w:rsidR="00677B3F" w:rsidRPr="00A31F1C" w:rsidRDefault="00677B3F" w:rsidP="005906F6">
            <w:pPr>
              <w:rPr>
                <w:rFonts w:ascii="Times New Roman" w:hAnsi="Times New Roman"/>
                <w:sz w:val="24"/>
                <w:szCs w:val="24"/>
                <w:lang w:val="ro-RO"/>
              </w:rPr>
            </w:pPr>
          </w:p>
        </w:tc>
        <w:tc>
          <w:tcPr>
            <w:tcW w:w="990" w:type="dxa"/>
          </w:tcPr>
          <w:p w14:paraId="20D7EB32" w14:textId="77777777" w:rsidR="00677B3F" w:rsidRPr="00A31F1C" w:rsidRDefault="00677B3F" w:rsidP="005906F6">
            <w:pPr>
              <w:rPr>
                <w:rFonts w:ascii="Times New Roman" w:hAnsi="Times New Roman"/>
                <w:sz w:val="24"/>
                <w:szCs w:val="24"/>
                <w:lang w:val="ro-RO"/>
              </w:rPr>
            </w:pPr>
          </w:p>
        </w:tc>
        <w:tc>
          <w:tcPr>
            <w:tcW w:w="990" w:type="dxa"/>
          </w:tcPr>
          <w:p w14:paraId="1666ABD7" w14:textId="77777777" w:rsidR="00677B3F" w:rsidRPr="00A31F1C" w:rsidRDefault="00677B3F" w:rsidP="005906F6">
            <w:pPr>
              <w:rPr>
                <w:rFonts w:ascii="Times New Roman" w:hAnsi="Times New Roman"/>
                <w:sz w:val="24"/>
                <w:szCs w:val="24"/>
                <w:lang w:val="ro-RO"/>
              </w:rPr>
            </w:pPr>
          </w:p>
        </w:tc>
        <w:tc>
          <w:tcPr>
            <w:tcW w:w="1015" w:type="dxa"/>
          </w:tcPr>
          <w:p w14:paraId="7BDB264D" w14:textId="77777777" w:rsidR="00677B3F" w:rsidRPr="00A31F1C" w:rsidRDefault="00677B3F" w:rsidP="005906F6">
            <w:pPr>
              <w:rPr>
                <w:rFonts w:ascii="Times New Roman" w:hAnsi="Times New Roman"/>
                <w:sz w:val="24"/>
                <w:szCs w:val="24"/>
                <w:lang w:val="ro-RO"/>
              </w:rPr>
            </w:pPr>
          </w:p>
        </w:tc>
      </w:tr>
      <w:tr w:rsidR="00677B3F" w:rsidRPr="00BA72AD" w14:paraId="2BFC0525" w14:textId="77777777" w:rsidTr="005906F6">
        <w:trPr>
          <w:trHeight w:val="324"/>
        </w:trPr>
        <w:tc>
          <w:tcPr>
            <w:tcW w:w="4478" w:type="dxa"/>
            <w:gridSpan w:val="3"/>
            <w:vMerge/>
          </w:tcPr>
          <w:p w14:paraId="7B8FE867" w14:textId="77777777" w:rsidR="00677B3F" w:rsidRPr="00A31F1C" w:rsidRDefault="00677B3F" w:rsidP="005906F6">
            <w:pPr>
              <w:rPr>
                <w:rFonts w:ascii="Times New Roman" w:hAnsi="Times New Roman"/>
                <w:sz w:val="24"/>
                <w:szCs w:val="24"/>
                <w:lang w:val="ro-RO"/>
              </w:rPr>
            </w:pPr>
          </w:p>
        </w:tc>
        <w:tc>
          <w:tcPr>
            <w:tcW w:w="892" w:type="dxa"/>
          </w:tcPr>
          <w:p w14:paraId="5AD3C388" w14:textId="77777777" w:rsidR="00677B3F" w:rsidRPr="00A31F1C" w:rsidRDefault="00677B3F" w:rsidP="005906F6">
            <w:pPr>
              <w:rPr>
                <w:rFonts w:ascii="Times New Roman" w:hAnsi="Times New Roman"/>
                <w:sz w:val="24"/>
                <w:szCs w:val="24"/>
                <w:lang w:val="ro-RO"/>
              </w:rPr>
            </w:pPr>
          </w:p>
        </w:tc>
        <w:tc>
          <w:tcPr>
            <w:tcW w:w="1080" w:type="dxa"/>
            <w:gridSpan w:val="2"/>
          </w:tcPr>
          <w:p w14:paraId="09012C06" w14:textId="77777777" w:rsidR="00677B3F" w:rsidRPr="00A31F1C" w:rsidRDefault="00677B3F" w:rsidP="005906F6">
            <w:pPr>
              <w:rPr>
                <w:rFonts w:ascii="Times New Roman" w:hAnsi="Times New Roman"/>
                <w:sz w:val="24"/>
                <w:szCs w:val="24"/>
                <w:lang w:val="ro-RO"/>
              </w:rPr>
            </w:pPr>
          </w:p>
        </w:tc>
        <w:tc>
          <w:tcPr>
            <w:tcW w:w="990" w:type="dxa"/>
            <w:gridSpan w:val="2"/>
          </w:tcPr>
          <w:p w14:paraId="0D02A013" w14:textId="77777777" w:rsidR="00677B3F" w:rsidRPr="00A31F1C" w:rsidRDefault="00677B3F" w:rsidP="005906F6">
            <w:pPr>
              <w:rPr>
                <w:rFonts w:ascii="Times New Roman" w:hAnsi="Times New Roman"/>
                <w:sz w:val="24"/>
                <w:szCs w:val="24"/>
                <w:lang w:val="ro-RO"/>
              </w:rPr>
            </w:pPr>
          </w:p>
        </w:tc>
        <w:tc>
          <w:tcPr>
            <w:tcW w:w="990" w:type="dxa"/>
          </w:tcPr>
          <w:p w14:paraId="38C3ADBA" w14:textId="77777777" w:rsidR="00677B3F" w:rsidRPr="00A31F1C" w:rsidRDefault="00677B3F" w:rsidP="005906F6">
            <w:pPr>
              <w:rPr>
                <w:rFonts w:ascii="Times New Roman" w:hAnsi="Times New Roman"/>
                <w:sz w:val="24"/>
                <w:szCs w:val="24"/>
                <w:lang w:val="ro-RO"/>
              </w:rPr>
            </w:pPr>
          </w:p>
        </w:tc>
        <w:tc>
          <w:tcPr>
            <w:tcW w:w="990" w:type="dxa"/>
          </w:tcPr>
          <w:p w14:paraId="45EC9495" w14:textId="77777777" w:rsidR="00677B3F" w:rsidRPr="00A31F1C" w:rsidRDefault="00677B3F" w:rsidP="005906F6">
            <w:pPr>
              <w:rPr>
                <w:rFonts w:ascii="Times New Roman" w:hAnsi="Times New Roman"/>
                <w:sz w:val="24"/>
                <w:szCs w:val="24"/>
                <w:lang w:val="ro-RO"/>
              </w:rPr>
            </w:pPr>
          </w:p>
        </w:tc>
        <w:tc>
          <w:tcPr>
            <w:tcW w:w="1015" w:type="dxa"/>
          </w:tcPr>
          <w:p w14:paraId="200CF411" w14:textId="77777777" w:rsidR="00677B3F" w:rsidRPr="00A31F1C" w:rsidRDefault="00677B3F" w:rsidP="005906F6">
            <w:pPr>
              <w:rPr>
                <w:rFonts w:ascii="Times New Roman" w:hAnsi="Times New Roman"/>
                <w:sz w:val="24"/>
                <w:szCs w:val="24"/>
                <w:lang w:val="ro-RO"/>
              </w:rPr>
            </w:pPr>
          </w:p>
        </w:tc>
      </w:tr>
      <w:tr w:rsidR="00677B3F" w:rsidRPr="00BA72AD" w14:paraId="0E6EEF74" w14:textId="77777777" w:rsidTr="005906F6">
        <w:trPr>
          <w:trHeight w:val="324"/>
        </w:trPr>
        <w:tc>
          <w:tcPr>
            <w:tcW w:w="4478" w:type="dxa"/>
            <w:gridSpan w:val="3"/>
            <w:vMerge/>
          </w:tcPr>
          <w:p w14:paraId="7E5E3587" w14:textId="77777777" w:rsidR="00677B3F" w:rsidRPr="00A31F1C" w:rsidRDefault="00677B3F" w:rsidP="005906F6">
            <w:pPr>
              <w:rPr>
                <w:rFonts w:ascii="Times New Roman" w:hAnsi="Times New Roman"/>
                <w:sz w:val="24"/>
                <w:szCs w:val="24"/>
                <w:lang w:val="ro-RO"/>
              </w:rPr>
            </w:pPr>
          </w:p>
        </w:tc>
        <w:tc>
          <w:tcPr>
            <w:tcW w:w="892" w:type="dxa"/>
          </w:tcPr>
          <w:p w14:paraId="7F387B1E" w14:textId="77777777" w:rsidR="00677B3F" w:rsidRPr="00A31F1C" w:rsidRDefault="00677B3F" w:rsidP="005906F6">
            <w:pPr>
              <w:rPr>
                <w:rFonts w:ascii="Times New Roman" w:hAnsi="Times New Roman"/>
                <w:sz w:val="24"/>
                <w:szCs w:val="24"/>
                <w:lang w:val="ro-RO"/>
              </w:rPr>
            </w:pPr>
          </w:p>
        </w:tc>
        <w:tc>
          <w:tcPr>
            <w:tcW w:w="1080" w:type="dxa"/>
            <w:gridSpan w:val="2"/>
          </w:tcPr>
          <w:p w14:paraId="34D83080" w14:textId="77777777" w:rsidR="00677B3F" w:rsidRPr="00A31F1C" w:rsidRDefault="00677B3F" w:rsidP="005906F6">
            <w:pPr>
              <w:rPr>
                <w:rFonts w:ascii="Times New Roman" w:hAnsi="Times New Roman"/>
                <w:sz w:val="24"/>
                <w:szCs w:val="24"/>
                <w:lang w:val="ro-RO"/>
              </w:rPr>
            </w:pPr>
          </w:p>
        </w:tc>
        <w:tc>
          <w:tcPr>
            <w:tcW w:w="990" w:type="dxa"/>
            <w:gridSpan w:val="2"/>
          </w:tcPr>
          <w:p w14:paraId="64C9690D" w14:textId="77777777" w:rsidR="00677B3F" w:rsidRPr="00A31F1C" w:rsidRDefault="00677B3F" w:rsidP="005906F6">
            <w:pPr>
              <w:rPr>
                <w:rFonts w:ascii="Times New Roman" w:hAnsi="Times New Roman"/>
                <w:sz w:val="24"/>
                <w:szCs w:val="24"/>
                <w:lang w:val="ro-RO"/>
              </w:rPr>
            </w:pPr>
          </w:p>
        </w:tc>
        <w:tc>
          <w:tcPr>
            <w:tcW w:w="990" w:type="dxa"/>
          </w:tcPr>
          <w:p w14:paraId="1DD00DAA" w14:textId="77777777" w:rsidR="00677B3F" w:rsidRPr="00A31F1C" w:rsidRDefault="00677B3F" w:rsidP="005906F6">
            <w:pPr>
              <w:rPr>
                <w:rFonts w:ascii="Times New Roman" w:hAnsi="Times New Roman"/>
                <w:sz w:val="24"/>
                <w:szCs w:val="24"/>
                <w:lang w:val="ro-RO"/>
              </w:rPr>
            </w:pPr>
          </w:p>
        </w:tc>
        <w:tc>
          <w:tcPr>
            <w:tcW w:w="990" w:type="dxa"/>
          </w:tcPr>
          <w:p w14:paraId="51A8E27D" w14:textId="77777777" w:rsidR="00677B3F" w:rsidRPr="00A31F1C" w:rsidRDefault="00677B3F" w:rsidP="005906F6">
            <w:pPr>
              <w:rPr>
                <w:rFonts w:ascii="Times New Roman" w:hAnsi="Times New Roman"/>
                <w:sz w:val="24"/>
                <w:szCs w:val="24"/>
                <w:lang w:val="ro-RO"/>
              </w:rPr>
            </w:pPr>
          </w:p>
        </w:tc>
        <w:tc>
          <w:tcPr>
            <w:tcW w:w="1015" w:type="dxa"/>
          </w:tcPr>
          <w:p w14:paraId="5705A3EF" w14:textId="77777777" w:rsidR="00677B3F" w:rsidRPr="00A31F1C" w:rsidRDefault="00677B3F" w:rsidP="005906F6">
            <w:pPr>
              <w:rPr>
                <w:rFonts w:ascii="Times New Roman" w:hAnsi="Times New Roman"/>
                <w:sz w:val="24"/>
                <w:szCs w:val="24"/>
                <w:lang w:val="ro-RO"/>
              </w:rPr>
            </w:pPr>
          </w:p>
        </w:tc>
      </w:tr>
      <w:tr w:rsidR="00677B3F" w:rsidRPr="00BA72AD" w14:paraId="1D0D4B24" w14:textId="77777777" w:rsidTr="005906F6">
        <w:trPr>
          <w:trHeight w:val="324"/>
        </w:trPr>
        <w:tc>
          <w:tcPr>
            <w:tcW w:w="4478" w:type="dxa"/>
            <w:gridSpan w:val="3"/>
            <w:vMerge/>
          </w:tcPr>
          <w:p w14:paraId="50E4F0A2" w14:textId="77777777" w:rsidR="00677B3F" w:rsidRPr="00A31F1C" w:rsidRDefault="00677B3F" w:rsidP="005906F6">
            <w:pPr>
              <w:rPr>
                <w:rFonts w:ascii="Times New Roman" w:hAnsi="Times New Roman"/>
                <w:sz w:val="24"/>
                <w:szCs w:val="24"/>
                <w:lang w:val="ro-RO"/>
              </w:rPr>
            </w:pPr>
          </w:p>
        </w:tc>
        <w:tc>
          <w:tcPr>
            <w:tcW w:w="892" w:type="dxa"/>
          </w:tcPr>
          <w:p w14:paraId="79F0593B" w14:textId="77777777" w:rsidR="00677B3F" w:rsidRPr="00A31F1C" w:rsidRDefault="00677B3F" w:rsidP="005906F6">
            <w:pPr>
              <w:rPr>
                <w:rFonts w:ascii="Times New Roman" w:hAnsi="Times New Roman"/>
                <w:sz w:val="24"/>
                <w:szCs w:val="24"/>
                <w:lang w:val="ro-RO"/>
              </w:rPr>
            </w:pPr>
          </w:p>
        </w:tc>
        <w:tc>
          <w:tcPr>
            <w:tcW w:w="1080" w:type="dxa"/>
            <w:gridSpan w:val="2"/>
          </w:tcPr>
          <w:p w14:paraId="149C193C" w14:textId="77777777" w:rsidR="00677B3F" w:rsidRPr="00A31F1C" w:rsidRDefault="00677B3F" w:rsidP="005906F6">
            <w:pPr>
              <w:rPr>
                <w:rFonts w:ascii="Times New Roman" w:hAnsi="Times New Roman"/>
                <w:sz w:val="24"/>
                <w:szCs w:val="24"/>
                <w:lang w:val="ro-RO"/>
              </w:rPr>
            </w:pPr>
          </w:p>
        </w:tc>
        <w:tc>
          <w:tcPr>
            <w:tcW w:w="990" w:type="dxa"/>
            <w:gridSpan w:val="2"/>
          </w:tcPr>
          <w:p w14:paraId="4380BC62" w14:textId="77777777" w:rsidR="00677B3F" w:rsidRPr="00A31F1C" w:rsidRDefault="00677B3F" w:rsidP="005906F6">
            <w:pPr>
              <w:rPr>
                <w:rFonts w:ascii="Times New Roman" w:hAnsi="Times New Roman"/>
                <w:sz w:val="24"/>
                <w:szCs w:val="24"/>
                <w:lang w:val="ro-RO"/>
              </w:rPr>
            </w:pPr>
          </w:p>
        </w:tc>
        <w:tc>
          <w:tcPr>
            <w:tcW w:w="990" w:type="dxa"/>
          </w:tcPr>
          <w:p w14:paraId="3CC7CE2C" w14:textId="77777777" w:rsidR="00677B3F" w:rsidRPr="00A31F1C" w:rsidRDefault="00677B3F" w:rsidP="005906F6">
            <w:pPr>
              <w:rPr>
                <w:rFonts w:ascii="Times New Roman" w:hAnsi="Times New Roman"/>
                <w:sz w:val="24"/>
                <w:szCs w:val="24"/>
                <w:lang w:val="ro-RO"/>
              </w:rPr>
            </w:pPr>
          </w:p>
        </w:tc>
        <w:tc>
          <w:tcPr>
            <w:tcW w:w="990" w:type="dxa"/>
          </w:tcPr>
          <w:p w14:paraId="583D4E44" w14:textId="77777777" w:rsidR="00677B3F" w:rsidRPr="00A31F1C" w:rsidRDefault="00677B3F" w:rsidP="005906F6">
            <w:pPr>
              <w:rPr>
                <w:rFonts w:ascii="Times New Roman" w:hAnsi="Times New Roman"/>
                <w:sz w:val="24"/>
                <w:szCs w:val="24"/>
                <w:lang w:val="ro-RO"/>
              </w:rPr>
            </w:pPr>
          </w:p>
        </w:tc>
        <w:tc>
          <w:tcPr>
            <w:tcW w:w="1015" w:type="dxa"/>
          </w:tcPr>
          <w:p w14:paraId="42F07034" w14:textId="77777777" w:rsidR="00677B3F" w:rsidRPr="00A31F1C" w:rsidRDefault="00677B3F" w:rsidP="005906F6">
            <w:pPr>
              <w:rPr>
                <w:rFonts w:ascii="Times New Roman" w:hAnsi="Times New Roman"/>
                <w:sz w:val="24"/>
                <w:szCs w:val="24"/>
                <w:lang w:val="ro-RO"/>
              </w:rPr>
            </w:pPr>
          </w:p>
        </w:tc>
      </w:tr>
      <w:tr w:rsidR="00677B3F" w:rsidRPr="00BA72AD" w14:paraId="5E7DCFC7" w14:textId="77777777" w:rsidTr="005906F6">
        <w:trPr>
          <w:trHeight w:val="324"/>
        </w:trPr>
        <w:tc>
          <w:tcPr>
            <w:tcW w:w="4478" w:type="dxa"/>
            <w:gridSpan w:val="3"/>
            <w:vMerge/>
          </w:tcPr>
          <w:p w14:paraId="22086C29" w14:textId="77777777" w:rsidR="00677B3F" w:rsidRPr="00A31F1C" w:rsidRDefault="00677B3F" w:rsidP="005906F6">
            <w:pPr>
              <w:rPr>
                <w:rFonts w:ascii="Times New Roman" w:hAnsi="Times New Roman"/>
                <w:sz w:val="24"/>
                <w:szCs w:val="24"/>
                <w:lang w:val="ro-RO"/>
              </w:rPr>
            </w:pPr>
          </w:p>
        </w:tc>
        <w:tc>
          <w:tcPr>
            <w:tcW w:w="892" w:type="dxa"/>
          </w:tcPr>
          <w:p w14:paraId="382A30B2" w14:textId="77777777" w:rsidR="00677B3F" w:rsidRPr="00A31F1C" w:rsidRDefault="00677B3F" w:rsidP="005906F6">
            <w:pPr>
              <w:rPr>
                <w:rFonts w:ascii="Times New Roman" w:hAnsi="Times New Roman"/>
                <w:sz w:val="24"/>
                <w:szCs w:val="24"/>
                <w:lang w:val="ro-RO"/>
              </w:rPr>
            </w:pPr>
          </w:p>
        </w:tc>
        <w:tc>
          <w:tcPr>
            <w:tcW w:w="1080" w:type="dxa"/>
            <w:gridSpan w:val="2"/>
          </w:tcPr>
          <w:p w14:paraId="459AE14C" w14:textId="77777777" w:rsidR="00677B3F" w:rsidRPr="00A31F1C" w:rsidRDefault="00677B3F" w:rsidP="005906F6">
            <w:pPr>
              <w:rPr>
                <w:rFonts w:ascii="Times New Roman" w:hAnsi="Times New Roman"/>
                <w:sz w:val="24"/>
                <w:szCs w:val="24"/>
                <w:lang w:val="ro-RO"/>
              </w:rPr>
            </w:pPr>
          </w:p>
        </w:tc>
        <w:tc>
          <w:tcPr>
            <w:tcW w:w="990" w:type="dxa"/>
            <w:gridSpan w:val="2"/>
          </w:tcPr>
          <w:p w14:paraId="61C20922" w14:textId="77777777" w:rsidR="00677B3F" w:rsidRPr="00A31F1C" w:rsidRDefault="00677B3F" w:rsidP="005906F6">
            <w:pPr>
              <w:rPr>
                <w:rFonts w:ascii="Times New Roman" w:hAnsi="Times New Roman"/>
                <w:sz w:val="24"/>
                <w:szCs w:val="24"/>
                <w:lang w:val="ro-RO"/>
              </w:rPr>
            </w:pPr>
          </w:p>
        </w:tc>
        <w:tc>
          <w:tcPr>
            <w:tcW w:w="990" w:type="dxa"/>
          </w:tcPr>
          <w:p w14:paraId="6BE54619" w14:textId="77777777" w:rsidR="00677B3F" w:rsidRPr="00A31F1C" w:rsidRDefault="00677B3F" w:rsidP="005906F6">
            <w:pPr>
              <w:rPr>
                <w:rFonts w:ascii="Times New Roman" w:hAnsi="Times New Roman"/>
                <w:sz w:val="24"/>
                <w:szCs w:val="24"/>
                <w:lang w:val="ro-RO"/>
              </w:rPr>
            </w:pPr>
          </w:p>
        </w:tc>
        <w:tc>
          <w:tcPr>
            <w:tcW w:w="990" w:type="dxa"/>
          </w:tcPr>
          <w:p w14:paraId="55BF2ABC" w14:textId="77777777" w:rsidR="00677B3F" w:rsidRPr="00A31F1C" w:rsidRDefault="00677B3F" w:rsidP="005906F6">
            <w:pPr>
              <w:rPr>
                <w:rFonts w:ascii="Times New Roman" w:hAnsi="Times New Roman"/>
                <w:sz w:val="24"/>
                <w:szCs w:val="24"/>
                <w:lang w:val="ro-RO"/>
              </w:rPr>
            </w:pPr>
          </w:p>
        </w:tc>
        <w:tc>
          <w:tcPr>
            <w:tcW w:w="1015" w:type="dxa"/>
          </w:tcPr>
          <w:p w14:paraId="21D75FAA" w14:textId="77777777" w:rsidR="00677B3F" w:rsidRPr="00A31F1C" w:rsidRDefault="00677B3F" w:rsidP="005906F6">
            <w:pPr>
              <w:rPr>
                <w:rFonts w:ascii="Times New Roman" w:hAnsi="Times New Roman"/>
                <w:sz w:val="24"/>
                <w:szCs w:val="24"/>
                <w:lang w:val="ro-RO"/>
              </w:rPr>
            </w:pPr>
          </w:p>
        </w:tc>
      </w:tr>
      <w:tr w:rsidR="00677B3F" w:rsidRPr="00BA72AD" w14:paraId="04DD9B58" w14:textId="77777777" w:rsidTr="005906F6">
        <w:trPr>
          <w:trHeight w:val="324"/>
        </w:trPr>
        <w:tc>
          <w:tcPr>
            <w:tcW w:w="4478" w:type="dxa"/>
            <w:gridSpan w:val="3"/>
            <w:vMerge/>
          </w:tcPr>
          <w:p w14:paraId="1B98E906" w14:textId="77777777" w:rsidR="00677B3F" w:rsidRPr="00A31F1C" w:rsidRDefault="00677B3F" w:rsidP="005906F6">
            <w:pPr>
              <w:rPr>
                <w:rFonts w:ascii="Times New Roman" w:hAnsi="Times New Roman"/>
                <w:sz w:val="24"/>
                <w:szCs w:val="24"/>
                <w:lang w:val="ro-RO"/>
              </w:rPr>
            </w:pPr>
          </w:p>
        </w:tc>
        <w:tc>
          <w:tcPr>
            <w:tcW w:w="892" w:type="dxa"/>
          </w:tcPr>
          <w:p w14:paraId="54305BF4" w14:textId="77777777" w:rsidR="00677B3F" w:rsidRPr="00A31F1C" w:rsidRDefault="00677B3F" w:rsidP="005906F6">
            <w:pPr>
              <w:rPr>
                <w:rFonts w:ascii="Times New Roman" w:hAnsi="Times New Roman"/>
                <w:sz w:val="24"/>
                <w:szCs w:val="24"/>
                <w:lang w:val="ro-RO"/>
              </w:rPr>
            </w:pPr>
          </w:p>
        </w:tc>
        <w:tc>
          <w:tcPr>
            <w:tcW w:w="1080" w:type="dxa"/>
            <w:gridSpan w:val="2"/>
          </w:tcPr>
          <w:p w14:paraId="5E447223" w14:textId="77777777" w:rsidR="00677B3F" w:rsidRPr="00A31F1C" w:rsidRDefault="00677B3F" w:rsidP="005906F6">
            <w:pPr>
              <w:rPr>
                <w:rFonts w:ascii="Times New Roman" w:hAnsi="Times New Roman"/>
                <w:sz w:val="24"/>
                <w:szCs w:val="24"/>
                <w:lang w:val="ro-RO"/>
              </w:rPr>
            </w:pPr>
          </w:p>
        </w:tc>
        <w:tc>
          <w:tcPr>
            <w:tcW w:w="990" w:type="dxa"/>
            <w:gridSpan w:val="2"/>
          </w:tcPr>
          <w:p w14:paraId="02DB8209" w14:textId="77777777" w:rsidR="00677B3F" w:rsidRPr="00A31F1C" w:rsidRDefault="00677B3F" w:rsidP="005906F6">
            <w:pPr>
              <w:rPr>
                <w:rFonts w:ascii="Times New Roman" w:hAnsi="Times New Roman"/>
                <w:sz w:val="24"/>
                <w:szCs w:val="24"/>
                <w:lang w:val="ro-RO"/>
              </w:rPr>
            </w:pPr>
          </w:p>
        </w:tc>
        <w:tc>
          <w:tcPr>
            <w:tcW w:w="990" w:type="dxa"/>
          </w:tcPr>
          <w:p w14:paraId="3A18342A" w14:textId="77777777" w:rsidR="00677B3F" w:rsidRPr="00A31F1C" w:rsidRDefault="00677B3F" w:rsidP="005906F6">
            <w:pPr>
              <w:rPr>
                <w:rFonts w:ascii="Times New Roman" w:hAnsi="Times New Roman"/>
                <w:sz w:val="24"/>
                <w:szCs w:val="24"/>
                <w:lang w:val="ro-RO"/>
              </w:rPr>
            </w:pPr>
          </w:p>
        </w:tc>
        <w:tc>
          <w:tcPr>
            <w:tcW w:w="990" w:type="dxa"/>
          </w:tcPr>
          <w:p w14:paraId="4D95FF22" w14:textId="77777777" w:rsidR="00677B3F" w:rsidRPr="00A31F1C" w:rsidRDefault="00677B3F" w:rsidP="005906F6">
            <w:pPr>
              <w:rPr>
                <w:rFonts w:ascii="Times New Roman" w:hAnsi="Times New Roman"/>
                <w:sz w:val="24"/>
                <w:szCs w:val="24"/>
                <w:lang w:val="ro-RO"/>
              </w:rPr>
            </w:pPr>
          </w:p>
        </w:tc>
        <w:tc>
          <w:tcPr>
            <w:tcW w:w="1015" w:type="dxa"/>
          </w:tcPr>
          <w:p w14:paraId="0E699DF6" w14:textId="77777777" w:rsidR="00677B3F" w:rsidRPr="00A31F1C" w:rsidRDefault="00677B3F" w:rsidP="005906F6">
            <w:pPr>
              <w:rPr>
                <w:rFonts w:ascii="Times New Roman" w:hAnsi="Times New Roman"/>
                <w:sz w:val="24"/>
                <w:szCs w:val="24"/>
                <w:lang w:val="ro-RO"/>
              </w:rPr>
            </w:pPr>
          </w:p>
        </w:tc>
      </w:tr>
      <w:tr w:rsidR="00677B3F" w:rsidRPr="00BA72AD" w14:paraId="0290B93B" w14:textId="77777777" w:rsidTr="005906F6">
        <w:trPr>
          <w:trHeight w:val="324"/>
        </w:trPr>
        <w:tc>
          <w:tcPr>
            <w:tcW w:w="4478" w:type="dxa"/>
            <w:gridSpan w:val="3"/>
            <w:vMerge/>
          </w:tcPr>
          <w:p w14:paraId="449D428E" w14:textId="77777777" w:rsidR="00677B3F" w:rsidRPr="00A31F1C" w:rsidRDefault="00677B3F" w:rsidP="005906F6">
            <w:pPr>
              <w:rPr>
                <w:rFonts w:ascii="Times New Roman" w:hAnsi="Times New Roman"/>
                <w:sz w:val="24"/>
                <w:szCs w:val="24"/>
                <w:lang w:val="ro-RO"/>
              </w:rPr>
            </w:pPr>
          </w:p>
        </w:tc>
        <w:tc>
          <w:tcPr>
            <w:tcW w:w="892" w:type="dxa"/>
          </w:tcPr>
          <w:p w14:paraId="600F1547" w14:textId="77777777" w:rsidR="00677B3F" w:rsidRPr="00A31F1C" w:rsidRDefault="00677B3F" w:rsidP="005906F6">
            <w:pPr>
              <w:rPr>
                <w:rFonts w:ascii="Times New Roman" w:hAnsi="Times New Roman"/>
                <w:sz w:val="24"/>
                <w:szCs w:val="24"/>
                <w:lang w:val="ro-RO"/>
              </w:rPr>
            </w:pPr>
          </w:p>
        </w:tc>
        <w:tc>
          <w:tcPr>
            <w:tcW w:w="1080" w:type="dxa"/>
            <w:gridSpan w:val="2"/>
          </w:tcPr>
          <w:p w14:paraId="3DB040E0" w14:textId="77777777" w:rsidR="00677B3F" w:rsidRPr="00A31F1C" w:rsidRDefault="00677B3F" w:rsidP="005906F6">
            <w:pPr>
              <w:rPr>
                <w:rFonts w:ascii="Times New Roman" w:hAnsi="Times New Roman"/>
                <w:sz w:val="24"/>
                <w:szCs w:val="24"/>
                <w:lang w:val="ro-RO"/>
              </w:rPr>
            </w:pPr>
          </w:p>
        </w:tc>
        <w:tc>
          <w:tcPr>
            <w:tcW w:w="990" w:type="dxa"/>
            <w:gridSpan w:val="2"/>
          </w:tcPr>
          <w:p w14:paraId="2DB5A36C" w14:textId="77777777" w:rsidR="00677B3F" w:rsidRPr="00A31F1C" w:rsidRDefault="00677B3F" w:rsidP="005906F6">
            <w:pPr>
              <w:rPr>
                <w:rFonts w:ascii="Times New Roman" w:hAnsi="Times New Roman"/>
                <w:sz w:val="24"/>
                <w:szCs w:val="24"/>
                <w:lang w:val="ro-RO"/>
              </w:rPr>
            </w:pPr>
          </w:p>
        </w:tc>
        <w:tc>
          <w:tcPr>
            <w:tcW w:w="990" w:type="dxa"/>
          </w:tcPr>
          <w:p w14:paraId="2C4B3C1B" w14:textId="77777777" w:rsidR="00677B3F" w:rsidRPr="00A31F1C" w:rsidRDefault="00677B3F" w:rsidP="005906F6">
            <w:pPr>
              <w:rPr>
                <w:rFonts w:ascii="Times New Roman" w:hAnsi="Times New Roman"/>
                <w:sz w:val="24"/>
                <w:szCs w:val="24"/>
                <w:lang w:val="ro-RO"/>
              </w:rPr>
            </w:pPr>
          </w:p>
        </w:tc>
        <w:tc>
          <w:tcPr>
            <w:tcW w:w="990" w:type="dxa"/>
          </w:tcPr>
          <w:p w14:paraId="5D4D916D" w14:textId="77777777" w:rsidR="00677B3F" w:rsidRPr="00A31F1C" w:rsidRDefault="00677B3F" w:rsidP="005906F6">
            <w:pPr>
              <w:rPr>
                <w:rFonts w:ascii="Times New Roman" w:hAnsi="Times New Roman"/>
                <w:sz w:val="24"/>
                <w:szCs w:val="24"/>
                <w:lang w:val="ro-RO"/>
              </w:rPr>
            </w:pPr>
          </w:p>
        </w:tc>
        <w:tc>
          <w:tcPr>
            <w:tcW w:w="1015" w:type="dxa"/>
          </w:tcPr>
          <w:p w14:paraId="03D0F697" w14:textId="77777777" w:rsidR="00677B3F" w:rsidRPr="00A31F1C" w:rsidRDefault="00677B3F" w:rsidP="005906F6">
            <w:pPr>
              <w:rPr>
                <w:rFonts w:ascii="Times New Roman" w:hAnsi="Times New Roman"/>
                <w:sz w:val="24"/>
                <w:szCs w:val="24"/>
                <w:lang w:val="ro-RO"/>
              </w:rPr>
            </w:pPr>
          </w:p>
        </w:tc>
      </w:tr>
      <w:tr w:rsidR="00677B3F" w:rsidRPr="00BA72AD" w14:paraId="29905014" w14:textId="77777777" w:rsidTr="005906F6">
        <w:trPr>
          <w:trHeight w:val="451"/>
        </w:trPr>
        <w:tc>
          <w:tcPr>
            <w:tcW w:w="4478" w:type="dxa"/>
            <w:gridSpan w:val="3"/>
            <w:vMerge w:val="restart"/>
          </w:tcPr>
          <w:p w14:paraId="051EACA8"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2. Modificări ale cheltuielilor bugetare plus/minus, din care:</w:t>
            </w:r>
          </w:p>
          <w:p w14:paraId="04D2608F" w14:textId="7B4415A0" w:rsidR="00677B3F" w:rsidRDefault="00677B3F" w:rsidP="00677B3F">
            <w:pPr>
              <w:numPr>
                <w:ilvl w:val="0"/>
                <w:numId w:val="5"/>
              </w:numPr>
              <w:spacing w:after="0" w:line="240" w:lineRule="auto"/>
              <w:rPr>
                <w:rFonts w:ascii="Times New Roman" w:hAnsi="Times New Roman"/>
                <w:sz w:val="24"/>
                <w:szCs w:val="24"/>
                <w:lang w:val="ro-RO"/>
              </w:rPr>
            </w:pPr>
            <w:r w:rsidRPr="00A31F1C">
              <w:rPr>
                <w:rFonts w:ascii="Times New Roman" w:hAnsi="Times New Roman"/>
                <w:sz w:val="24"/>
                <w:szCs w:val="24"/>
                <w:lang w:val="ro-RO"/>
              </w:rPr>
              <w:t>buget de stat</w:t>
            </w:r>
            <w:r w:rsidR="00502F72">
              <w:rPr>
                <w:rFonts w:ascii="Times New Roman" w:hAnsi="Times New Roman"/>
                <w:sz w:val="24"/>
                <w:szCs w:val="24"/>
                <w:lang w:val="ro-RO"/>
              </w:rPr>
              <w:t>, din acesta</w:t>
            </w:r>
          </w:p>
          <w:p w14:paraId="7DFEA73D" w14:textId="7382BFB3" w:rsidR="00502F72" w:rsidRDefault="00502F72" w:rsidP="00502F72">
            <w:pPr>
              <w:pStyle w:val="ListParagraph"/>
              <w:numPr>
                <w:ilvl w:val="0"/>
                <w:numId w:val="6"/>
              </w:numPr>
              <w:rPr>
                <w:rFonts w:ascii="Times New Roman" w:hAnsi="Times New Roman"/>
                <w:sz w:val="24"/>
                <w:szCs w:val="24"/>
                <w:lang w:val="ro-RO"/>
              </w:rPr>
            </w:pPr>
            <w:r>
              <w:rPr>
                <w:rFonts w:ascii="Times New Roman" w:hAnsi="Times New Roman"/>
                <w:sz w:val="24"/>
                <w:szCs w:val="24"/>
                <w:lang w:val="ro-RO"/>
              </w:rPr>
              <w:t>cheltuieli de personal</w:t>
            </w:r>
          </w:p>
          <w:p w14:paraId="7A011EEC" w14:textId="082D6AA4" w:rsidR="00502F72" w:rsidRPr="00502F72" w:rsidRDefault="00502F72" w:rsidP="00502F72">
            <w:pPr>
              <w:pStyle w:val="ListParagraph"/>
              <w:numPr>
                <w:ilvl w:val="0"/>
                <w:numId w:val="6"/>
              </w:numPr>
              <w:rPr>
                <w:rFonts w:ascii="Times New Roman" w:hAnsi="Times New Roman"/>
                <w:sz w:val="24"/>
                <w:szCs w:val="24"/>
                <w:lang w:val="ro-RO"/>
              </w:rPr>
            </w:pPr>
            <w:r>
              <w:rPr>
                <w:rFonts w:ascii="Times New Roman" w:hAnsi="Times New Roman"/>
                <w:sz w:val="24"/>
                <w:szCs w:val="24"/>
                <w:lang w:val="ro-RO"/>
              </w:rPr>
              <w:t>bunuri și servicii</w:t>
            </w:r>
          </w:p>
          <w:p w14:paraId="15CF08E9" w14:textId="7E0AA403" w:rsidR="00677B3F" w:rsidRDefault="00502F72" w:rsidP="00677B3F">
            <w:pPr>
              <w:numPr>
                <w:ilvl w:val="1"/>
                <w:numId w:val="6"/>
              </w:numPr>
              <w:tabs>
                <w:tab w:val="clear" w:pos="1800"/>
                <w:tab w:val="num" w:pos="0"/>
              </w:tabs>
              <w:autoSpaceDE w:val="0"/>
              <w:autoSpaceDN w:val="0"/>
              <w:adjustRightInd w:val="0"/>
              <w:spacing w:after="0" w:line="240" w:lineRule="auto"/>
              <w:ind w:left="360"/>
              <w:jc w:val="left"/>
              <w:rPr>
                <w:rFonts w:ascii="Times New Roman" w:hAnsi="Times New Roman"/>
                <w:sz w:val="24"/>
                <w:szCs w:val="24"/>
                <w:lang w:val="ro-RO"/>
              </w:rPr>
            </w:pPr>
            <w:r>
              <w:rPr>
                <w:rFonts w:ascii="Times New Roman" w:hAnsi="Times New Roman"/>
                <w:sz w:val="24"/>
                <w:szCs w:val="24"/>
                <w:lang w:val="ro-RO"/>
              </w:rPr>
              <w:t>bugete locale:</w:t>
            </w:r>
          </w:p>
          <w:p w14:paraId="7942FDEC" w14:textId="32357ABF" w:rsidR="00502F72" w:rsidRDefault="00502F72" w:rsidP="00502F72">
            <w:pPr>
              <w:pStyle w:val="ListParagraph"/>
              <w:numPr>
                <w:ilvl w:val="0"/>
                <w:numId w:val="7"/>
              </w:numPr>
              <w:autoSpaceDE w:val="0"/>
              <w:autoSpaceDN w:val="0"/>
              <w:adjustRightInd w:val="0"/>
              <w:rPr>
                <w:rFonts w:ascii="Times New Roman" w:hAnsi="Times New Roman"/>
                <w:sz w:val="24"/>
                <w:szCs w:val="24"/>
                <w:lang w:val="ro-RO"/>
              </w:rPr>
            </w:pPr>
            <w:r>
              <w:rPr>
                <w:rFonts w:ascii="Times New Roman" w:hAnsi="Times New Roman"/>
                <w:sz w:val="24"/>
                <w:szCs w:val="24"/>
                <w:lang w:val="ro-RO"/>
              </w:rPr>
              <w:t>cheltuieli de personal</w:t>
            </w:r>
          </w:p>
          <w:p w14:paraId="48B2BB6A" w14:textId="612C571A" w:rsidR="00502F72" w:rsidRPr="00502F72" w:rsidRDefault="00502F72" w:rsidP="00502F72">
            <w:pPr>
              <w:pStyle w:val="ListParagraph"/>
              <w:numPr>
                <w:ilvl w:val="0"/>
                <w:numId w:val="7"/>
              </w:numPr>
              <w:autoSpaceDE w:val="0"/>
              <w:autoSpaceDN w:val="0"/>
              <w:adjustRightInd w:val="0"/>
              <w:rPr>
                <w:rFonts w:ascii="Times New Roman" w:hAnsi="Times New Roman"/>
                <w:sz w:val="24"/>
                <w:szCs w:val="24"/>
                <w:lang w:val="ro-RO"/>
              </w:rPr>
            </w:pPr>
            <w:r>
              <w:rPr>
                <w:rFonts w:ascii="Times New Roman" w:hAnsi="Times New Roman"/>
                <w:sz w:val="24"/>
                <w:szCs w:val="24"/>
                <w:lang w:val="ro-RO"/>
              </w:rPr>
              <w:t>bunuri și servicii</w:t>
            </w:r>
          </w:p>
          <w:p w14:paraId="3AE3AC7A" w14:textId="77777777" w:rsidR="00677B3F" w:rsidRDefault="00502F72" w:rsidP="00677B3F">
            <w:pPr>
              <w:numPr>
                <w:ilvl w:val="1"/>
                <w:numId w:val="7"/>
              </w:numPr>
              <w:tabs>
                <w:tab w:val="clear" w:pos="1800"/>
                <w:tab w:val="num" w:pos="0"/>
              </w:tabs>
              <w:autoSpaceDE w:val="0"/>
              <w:autoSpaceDN w:val="0"/>
              <w:adjustRightInd w:val="0"/>
              <w:spacing w:after="0" w:line="240" w:lineRule="auto"/>
              <w:ind w:left="360"/>
              <w:jc w:val="left"/>
              <w:rPr>
                <w:rFonts w:ascii="Times New Roman" w:hAnsi="Times New Roman"/>
                <w:sz w:val="24"/>
                <w:szCs w:val="24"/>
                <w:lang w:val="ro-RO"/>
              </w:rPr>
            </w:pPr>
            <w:r>
              <w:rPr>
                <w:rFonts w:ascii="Times New Roman" w:hAnsi="Times New Roman"/>
                <w:sz w:val="24"/>
                <w:szCs w:val="24"/>
                <w:lang w:val="ro-RO"/>
              </w:rPr>
              <w:t>bugetul asigurarilor sociale de stat:</w:t>
            </w:r>
          </w:p>
          <w:p w14:paraId="66280315" w14:textId="1AEAA34C" w:rsidR="00502F72" w:rsidRPr="00502F72" w:rsidRDefault="00502F72" w:rsidP="00502F72">
            <w:pPr>
              <w:pStyle w:val="ListParagraph"/>
              <w:numPr>
                <w:ilvl w:val="2"/>
                <w:numId w:val="7"/>
              </w:numPr>
              <w:tabs>
                <w:tab w:val="clear" w:pos="3060"/>
              </w:tabs>
              <w:autoSpaceDE w:val="0"/>
              <w:autoSpaceDN w:val="0"/>
              <w:adjustRightInd w:val="0"/>
              <w:ind w:left="1140"/>
              <w:rPr>
                <w:rFonts w:ascii="Times New Roman" w:hAnsi="Times New Roman"/>
                <w:sz w:val="24"/>
                <w:szCs w:val="24"/>
                <w:lang w:val="ro-RO"/>
              </w:rPr>
            </w:pPr>
            <w:r w:rsidRPr="00502F72">
              <w:rPr>
                <w:rFonts w:ascii="Times New Roman" w:hAnsi="Times New Roman"/>
                <w:sz w:val="24"/>
                <w:szCs w:val="24"/>
                <w:lang w:val="ro-RO"/>
              </w:rPr>
              <w:t>cheltuieli de personal</w:t>
            </w:r>
          </w:p>
          <w:p w14:paraId="30813E51" w14:textId="77777777" w:rsidR="00502F72" w:rsidRDefault="00502F72" w:rsidP="00502F72">
            <w:pPr>
              <w:pStyle w:val="ListParagraph"/>
              <w:numPr>
                <w:ilvl w:val="2"/>
                <w:numId w:val="7"/>
              </w:numPr>
              <w:tabs>
                <w:tab w:val="clear" w:pos="3060"/>
              </w:tabs>
              <w:autoSpaceDE w:val="0"/>
              <w:autoSpaceDN w:val="0"/>
              <w:adjustRightInd w:val="0"/>
              <w:ind w:left="1140"/>
              <w:rPr>
                <w:rFonts w:ascii="Times New Roman" w:hAnsi="Times New Roman"/>
                <w:sz w:val="24"/>
                <w:szCs w:val="24"/>
                <w:lang w:val="ro-RO"/>
              </w:rPr>
            </w:pPr>
            <w:r>
              <w:rPr>
                <w:rFonts w:ascii="Times New Roman" w:hAnsi="Times New Roman"/>
                <w:sz w:val="24"/>
                <w:szCs w:val="24"/>
                <w:lang w:val="ro-RO"/>
              </w:rPr>
              <w:t>bunuri si servicii</w:t>
            </w:r>
          </w:p>
          <w:p w14:paraId="42959B5A" w14:textId="34C97B05" w:rsidR="00502F72" w:rsidRPr="00502F72" w:rsidRDefault="00502F72" w:rsidP="00502F72">
            <w:pPr>
              <w:pStyle w:val="ListParagraph"/>
              <w:autoSpaceDE w:val="0"/>
              <w:autoSpaceDN w:val="0"/>
              <w:adjustRightInd w:val="0"/>
              <w:ind w:left="1140"/>
              <w:rPr>
                <w:rFonts w:ascii="Times New Roman" w:hAnsi="Times New Roman"/>
                <w:sz w:val="24"/>
                <w:szCs w:val="24"/>
                <w:lang w:val="ro-RO"/>
              </w:rPr>
            </w:pPr>
          </w:p>
        </w:tc>
        <w:tc>
          <w:tcPr>
            <w:tcW w:w="892" w:type="dxa"/>
          </w:tcPr>
          <w:p w14:paraId="0075B44D"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1080" w:type="dxa"/>
            <w:gridSpan w:val="2"/>
          </w:tcPr>
          <w:p w14:paraId="3E9290F7"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 xml:space="preserve">- </w:t>
            </w:r>
          </w:p>
        </w:tc>
        <w:tc>
          <w:tcPr>
            <w:tcW w:w="990" w:type="dxa"/>
            <w:gridSpan w:val="2"/>
          </w:tcPr>
          <w:p w14:paraId="17D026E8"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277142B0"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3F181A73"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1015" w:type="dxa"/>
          </w:tcPr>
          <w:p w14:paraId="1ABB96AE"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 xml:space="preserve">      -</w:t>
            </w:r>
          </w:p>
        </w:tc>
      </w:tr>
      <w:tr w:rsidR="00677B3F" w:rsidRPr="00BA72AD" w14:paraId="509FBC50" w14:textId="77777777" w:rsidTr="005906F6">
        <w:trPr>
          <w:trHeight w:val="348"/>
        </w:trPr>
        <w:tc>
          <w:tcPr>
            <w:tcW w:w="4478" w:type="dxa"/>
            <w:gridSpan w:val="3"/>
            <w:vMerge/>
          </w:tcPr>
          <w:p w14:paraId="205CD1F4" w14:textId="77777777" w:rsidR="00677B3F" w:rsidRPr="00A31F1C" w:rsidRDefault="00677B3F" w:rsidP="005906F6">
            <w:pPr>
              <w:autoSpaceDE w:val="0"/>
              <w:autoSpaceDN w:val="0"/>
              <w:adjustRightInd w:val="0"/>
              <w:rPr>
                <w:rFonts w:ascii="Times New Roman" w:hAnsi="Times New Roman"/>
                <w:sz w:val="24"/>
                <w:szCs w:val="24"/>
                <w:lang w:val="ro-RO"/>
              </w:rPr>
            </w:pPr>
          </w:p>
        </w:tc>
        <w:tc>
          <w:tcPr>
            <w:tcW w:w="892" w:type="dxa"/>
          </w:tcPr>
          <w:p w14:paraId="23EF4A72"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1080" w:type="dxa"/>
            <w:gridSpan w:val="2"/>
          </w:tcPr>
          <w:p w14:paraId="2E07B1DC"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gridSpan w:val="2"/>
          </w:tcPr>
          <w:p w14:paraId="783F1278"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26B485B9"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767AD50F"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1015" w:type="dxa"/>
          </w:tcPr>
          <w:p w14:paraId="614C8BE5"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r>
      <w:tr w:rsidR="00677B3F" w:rsidRPr="00BA72AD" w14:paraId="273E7A21" w14:textId="77777777" w:rsidTr="005906F6">
        <w:trPr>
          <w:trHeight w:val="292"/>
        </w:trPr>
        <w:tc>
          <w:tcPr>
            <w:tcW w:w="4478" w:type="dxa"/>
            <w:gridSpan w:val="3"/>
            <w:vMerge/>
          </w:tcPr>
          <w:p w14:paraId="1B082706" w14:textId="77777777" w:rsidR="00677B3F" w:rsidRPr="00A31F1C" w:rsidRDefault="00677B3F" w:rsidP="005906F6">
            <w:pPr>
              <w:autoSpaceDE w:val="0"/>
              <w:autoSpaceDN w:val="0"/>
              <w:adjustRightInd w:val="0"/>
              <w:rPr>
                <w:rFonts w:ascii="Times New Roman" w:hAnsi="Times New Roman"/>
                <w:sz w:val="24"/>
                <w:szCs w:val="24"/>
                <w:lang w:val="ro-RO"/>
              </w:rPr>
            </w:pPr>
          </w:p>
        </w:tc>
        <w:tc>
          <w:tcPr>
            <w:tcW w:w="892" w:type="dxa"/>
          </w:tcPr>
          <w:p w14:paraId="22CDE27B"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1080" w:type="dxa"/>
            <w:gridSpan w:val="2"/>
          </w:tcPr>
          <w:p w14:paraId="4F763F3B"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gridSpan w:val="2"/>
          </w:tcPr>
          <w:p w14:paraId="06649D45"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5CF20395"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4B8048B7"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c>
          <w:tcPr>
            <w:tcW w:w="1015" w:type="dxa"/>
          </w:tcPr>
          <w:p w14:paraId="1372694D"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w:t>
            </w:r>
          </w:p>
        </w:tc>
      </w:tr>
      <w:tr w:rsidR="00677B3F" w:rsidRPr="00BA72AD" w14:paraId="567515FE" w14:textId="77777777" w:rsidTr="005906F6">
        <w:trPr>
          <w:trHeight w:val="285"/>
        </w:trPr>
        <w:tc>
          <w:tcPr>
            <w:tcW w:w="4478" w:type="dxa"/>
            <w:gridSpan w:val="3"/>
            <w:vMerge w:val="restart"/>
          </w:tcPr>
          <w:p w14:paraId="22DFFE96"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3. Impact financiar, plus/minus, din care:</w:t>
            </w:r>
          </w:p>
          <w:p w14:paraId="0636759F" w14:textId="77777777" w:rsidR="00677B3F" w:rsidRPr="00A31F1C" w:rsidRDefault="00677B3F" w:rsidP="00677B3F">
            <w:pPr>
              <w:numPr>
                <w:ilvl w:val="0"/>
                <w:numId w:val="8"/>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lang w:val="ro-RO"/>
              </w:rPr>
              <w:lastRenderedPageBreak/>
              <w:t>buget de stat</w:t>
            </w:r>
          </w:p>
          <w:p w14:paraId="724AFFEB" w14:textId="77777777" w:rsidR="00677B3F" w:rsidRPr="00A31F1C" w:rsidRDefault="00677B3F" w:rsidP="00677B3F">
            <w:pPr>
              <w:numPr>
                <w:ilvl w:val="0"/>
                <w:numId w:val="8"/>
              </w:numPr>
              <w:autoSpaceDE w:val="0"/>
              <w:autoSpaceDN w:val="0"/>
              <w:adjustRightInd w:val="0"/>
              <w:spacing w:after="0" w:line="240" w:lineRule="auto"/>
              <w:rPr>
                <w:rFonts w:ascii="Times New Roman" w:hAnsi="Times New Roman"/>
                <w:sz w:val="24"/>
                <w:szCs w:val="24"/>
                <w:lang w:val="ro-RO"/>
              </w:rPr>
            </w:pPr>
            <w:r w:rsidRPr="00A31F1C">
              <w:rPr>
                <w:rFonts w:ascii="Times New Roman" w:hAnsi="Times New Roman"/>
                <w:sz w:val="24"/>
                <w:szCs w:val="24"/>
                <w:lang w:val="ro-RO"/>
              </w:rPr>
              <w:t>bugete locale</w:t>
            </w:r>
          </w:p>
        </w:tc>
        <w:tc>
          <w:tcPr>
            <w:tcW w:w="892" w:type="dxa"/>
          </w:tcPr>
          <w:p w14:paraId="4248CC30" w14:textId="77777777" w:rsidR="00677B3F" w:rsidRPr="00A31F1C" w:rsidRDefault="00677B3F" w:rsidP="005906F6">
            <w:pPr>
              <w:ind w:left="-108"/>
              <w:rPr>
                <w:rFonts w:ascii="Times New Roman" w:hAnsi="Times New Roman"/>
                <w:sz w:val="24"/>
                <w:szCs w:val="24"/>
                <w:lang w:val="ro-RO"/>
              </w:rPr>
            </w:pPr>
            <w:r w:rsidRPr="00A31F1C">
              <w:rPr>
                <w:rFonts w:ascii="Times New Roman" w:hAnsi="Times New Roman"/>
                <w:sz w:val="24"/>
                <w:szCs w:val="24"/>
                <w:lang w:val="ro-RO"/>
              </w:rPr>
              <w:lastRenderedPageBreak/>
              <w:t xml:space="preserve">  -</w:t>
            </w:r>
          </w:p>
          <w:p w14:paraId="7DCE23FA" w14:textId="77777777" w:rsidR="00677B3F" w:rsidRPr="00A31F1C" w:rsidDel="005D215F" w:rsidRDefault="00677B3F" w:rsidP="005906F6">
            <w:pPr>
              <w:rPr>
                <w:rFonts w:ascii="Times New Roman" w:hAnsi="Times New Roman"/>
                <w:sz w:val="24"/>
                <w:szCs w:val="24"/>
                <w:lang w:val="ro-RO"/>
              </w:rPr>
            </w:pPr>
          </w:p>
        </w:tc>
        <w:tc>
          <w:tcPr>
            <w:tcW w:w="1080" w:type="dxa"/>
            <w:gridSpan w:val="2"/>
          </w:tcPr>
          <w:p w14:paraId="68472627"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lastRenderedPageBreak/>
              <w:t>-</w:t>
            </w:r>
          </w:p>
        </w:tc>
        <w:tc>
          <w:tcPr>
            <w:tcW w:w="990" w:type="dxa"/>
            <w:gridSpan w:val="2"/>
          </w:tcPr>
          <w:p w14:paraId="0C8F9B96"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7C506ECE"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34B7C036"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1015" w:type="dxa"/>
          </w:tcPr>
          <w:p w14:paraId="08559656"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r>
      <w:tr w:rsidR="00677B3F" w:rsidRPr="00BA72AD" w14:paraId="1F949878" w14:textId="77777777" w:rsidTr="005906F6">
        <w:trPr>
          <w:trHeight w:val="432"/>
        </w:trPr>
        <w:tc>
          <w:tcPr>
            <w:tcW w:w="4478" w:type="dxa"/>
            <w:gridSpan w:val="3"/>
            <w:vMerge/>
          </w:tcPr>
          <w:p w14:paraId="64D98651" w14:textId="77777777" w:rsidR="00677B3F" w:rsidRPr="00A31F1C" w:rsidRDefault="00677B3F" w:rsidP="005906F6">
            <w:pPr>
              <w:autoSpaceDE w:val="0"/>
              <w:autoSpaceDN w:val="0"/>
              <w:adjustRightInd w:val="0"/>
              <w:rPr>
                <w:rFonts w:ascii="Times New Roman" w:hAnsi="Times New Roman"/>
                <w:sz w:val="24"/>
                <w:szCs w:val="24"/>
                <w:lang w:val="ro-RO"/>
              </w:rPr>
            </w:pPr>
          </w:p>
        </w:tc>
        <w:tc>
          <w:tcPr>
            <w:tcW w:w="892" w:type="dxa"/>
          </w:tcPr>
          <w:p w14:paraId="0802B17D"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1080" w:type="dxa"/>
            <w:gridSpan w:val="2"/>
          </w:tcPr>
          <w:p w14:paraId="6A5FB6A3"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974" w:type="dxa"/>
          </w:tcPr>
          <w:p w14:paraId="74EE8E30"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1006" w:type="dxa"/>
            <w:gridSpan w:val="2"/>
          </w:tcPr>
          <w:p w14:paraId="7ED1B4C1"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990" w:type="dxa"/>
          </w:tcPr>
          <w:p w14:paraId="4E1050EA"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c>
          <w:tcPr>
            <w:tcW w:w="1015" w:type="dxa"/>
          </w:tcPr>
          <w:p w14:paraId="62FD0423" w14:textId="77777777" w:rsidR="00677B3F" w:rsidRPr="00A31F1C" w:rsidDel="005D215F" w:rsidRDefault="00677B3F" w:rsidP="005906F6">
            <w:pPr>
              <w:rPr>
                <w:rFonts w:ascii="Times New Roman" w:hAnsi="Times New Roman"/>
                <w:sz w:val="24"/>
                <w:szCs w:val="24"/>
                <w:lang w:val="ro-RO"/>
              </w:rPr>
            </w:pPr>
            <w:r w:rsidRPr="00A31F1C">
              <w:rPr>
                <w:rFonts w:ascii="Times New Roman" w:hAnsi="Times New Roman"/>
                <w:sz w:val="24"/>
                <w:szCs w:val="24"/>
                <w:lang w:val="ro-RO"/>
              </w:rPr>
              <w:t>-</w:t>
            </w:r>
          </w:p>
        </w:tc>
      </w:tr>
      <w:tr w:rsidR="00677B3F" w:rsidRPr="00BA72AD" w14:paraId="0F52BA9E" w14:textId="77777777" w:rsidTr="005906F6">
        <w:tc>
          <w:tcPr>
            <w:tcW w:w="4478" w:type="dxa"/>
            <w:gridSpan w:val="3"/>
          </w:tcPr>
          <w:p w14:paraId="22AA00B2"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4. Propuneri pentru acoperirea creşterii cheltuielilor bugetare</w:t>
            </w:r>
          </w:p>
        </w:tc>
        <w:tc>
          <w:tcPr>
            <w:tcW w:w="5957" w:type="dxa"/>
            <w:gridSpan w:val="8"/>
          </w:tcPr>
          <w:p w14:paraId="6EE982FB"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 xml:space="preserve">- </w:t>
            </w:r>
          </w:p>
        </w:tc>
      </w:tr>
      <w:tr w:rsidR="00677B3F" w:rsidRPr="00BA72AD" w14:paraId="0177E4B7" w14:textId="77777777" w:rsidTr="005906F6">
        <w:tc>
          <w:tcPr>
            <w:tcW w:w="4478" w:type="dxa"/>
            <w:gridSpan w:val="3"/>
          </w:tcPr>
          <w:p w14:paraId="73CDF45F"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5. Propuneri pentru a compensa reducerea veniturilor bugetare</w:t>
            </w:r>
          </w:p>
        </w:tc>
        <w:tc>
          <w:tcPr>
            <w:tcW w:w="5957" w:type="dxa"/>
            <w:gridSpan w:val="8"/>
          </w:tcPr>
          <w:p w14:paraId="3F24CA76" w14:textId="77777777" w:rsidR="00677B3F" w:rsidRPr="00A31F1C" w:rsidRDefault="00677B3F" w:rsidP="005906F6">
            <w:pPr>
              <w:rPr>
                <w:rFonts w:ascii="Times New Roman" w:hAnsi="Times New Roman"/>
                <w:sz w:val="24"/>
                <w:szCs w:val="24"/>
                <w:lang w:val="ro-RO"/>
              </w:rPr>
            </w:pPr>
          </w:p>
        </w:tc>
      </w:tr>
      <w:tr w:rsidR="00677B3F" w:rsidRPr="00BA72AD" w14:paraId="74383486" w14:textId="77777777" w:rsidTr="005906F6">
        <w:tc>
          <w:tcPr>
            <w:tcW w:w="4478" w:type="dxa"/>
            <w:gridSpan w:val="3"/>
          </w:tcPr>
          <w:p w14:paraId="6F8DFDC5"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6. Calcule detaliate privind fundamentarea modificărilor veniturilor şi/sau cheltuielilor bugetare</w:t>
            </w:r>
          </w:p>
        </w:tc>
        <w:tc>
          <w:tcPr>
            <w:tcW w:w="5957" w:type="dxa"/>
            <w:gridSpan w:val="8"/>
          </w:tcPr>
          <w:p w14:paraId="354D5EBC" w14:textId="77777777" w:rsidR="00677B3F" w:rsidRPr="00A31F1C" w:rsidRDefault="00677B3F" w:rsidP="005906F6">
            <w:pPr>
              <w:rPr>
                <w:rFonts w:ascii="Times New Roman" w:hAnsi="Times New Roman"/>
                <w:sz w:val="24"/>
                <w:szCs w:val="24"/>
                <w:lang w:val="ro-RO"/>
              </w:rPr>
            </w:pPr>
          </w:p>
        </w:tc>
      </w:tr>
      <w:tr w:rsidR="00677B3F" w:rsidRPr="00BA72AD" w14:paraId="740346BB" w14:textId="77777777" w:rsidTr="005906F6">
        <w:tc>
          <w:tcPr>
            <w:tcW w:w="4478" w:type="dxa"/>
            <w:gridSpan w:val="3"/>
          </w:tcPr>
          <w:p w14:paraId="2B43FDE7"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7. Alte informaţii</w:t>
            </w:r>
          </w:p>
        </w:tc>
        <w:tc>
          <w:tcPr>
            <w:tcW w:w="5957" w:type="dxa"/>
            <w:gridSpan w:val="8"/>
          </w:tcPr>
          <w:p w14:paraId="6A705F42"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Nu au fost identificate</w:t>
            </w:r>
          </w:p>
        </w:tc>
      </w:tr>
      <w:tr w:rsidR="00677B3F" w:rsidRPr="00BA72AD" w14:paraId="3A99305E" w14:textId="77777777" w:rsidTr="005906F6">
        <w:trPr>
          <w:trHeight w:val="401"/>
        </w:trPr>
        <w:tc>
          <w:tcPr>
            <w:tcW w:w="10435" w:type="dxa"/>
            <w:gridSpan w:val="11"/>
          </w:tcPr>
          <w:p w14:paraId="3CBD7962" w14:textId="77777777" w:rsidR="00677B3F" w:rsidRPr="00A31F1C" w:rsidRDefault="00677B3F" w:rsidP="00B54701">
            <w:pPr>
              <w:spacing w:after="120" w:line="240" w:lineRule="auto"/>
              <w:jc w:val="center"/>
              <w:rPr>
                <w:rFonts w:ascii="Times New Roman" w:hAnsi="Times New Roman"/>
                <w:b/>
                <w:sz w:val="24"/>
                <w:szCs w:val="24"/>
                <w:lang w:val="ro-RO"/>
              </w:rPr>
            </w:pPr>
          </w:p>
          <w:p w14:paraId="4BE66B69" w14:textId="77777777" w:rsidR="00677B3F" w:rsidRPr="00A31F1C" w:rsidRDefault="00677B3F" w:rsidP="00B54701">
            <w:pPr>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Secţiunea a 5-a: Efectele proiectului de act normativ asupra legislaţiei în vigoare</w:t>
            </w:r>
          </w:p>
          <w:p w14:paraId="61B36792" w14:textId="77777777" w:rsidR="00677B3F" w:rsidRPr="00A31F1C" w:rsidRDefault="00677B3F" w:rsidP="005906F6">
            <w:pPr>
              <w:jc w:val="center"/>
              <w:rPr>
                <w:rFonts w:ascii="Times New Roman" w:hAnsi="Times New Roman"/>
                <w:b/>
                <w:sz w:val="24"/>
                <w:szCs w:val="24"/>
                <w:lang w:val="ro-RO"/>
              </w:rPr>
            </w:pPr>
          </w:p>
        </w:tc>
      </w:tr>
      <w:tr w:rsidR="00677B3F" w:rsidRPr="00BA72AD" w14:paraId="0CCFD936" w14:textId="77777777" w:rsidTr="005906F6">
        <w:tc>
          <w:tcPr>
            <w:tcW w:w="4478" w:type="dxa"/>
            <w:gridSpan w:val="3"/>
          </w:tcPr>
          <w:p w14:paraId="21E1684F"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1.Măsuri normative necesare pentru aplicarea prevederilor proiectului de act normativ:</w:t>
            </w:r>
          </w:p>
          <w:p w14:paraId="5F6B503A"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 xml:space="preserve">a) acte normative în vigoare ce vor fi modificate sau abrogate, ca urmare a intrării în vigoare a proiectului de act normativ; </w:t>
            </w:r>
          </w:p>
          <w:p w14:paraId="32F19D62"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b) acte normative ce urmează a fi elaborate în vederea implementării noilor dispoziţii</w:t>
            </w:r>
          </w:p>
        </w:tc>
        <w:tc>
          <w:tcPr>
            <w:tcW w:w="5957" w:type="dxa"/>
            <w:gridSpan w:val="8"/>
          </w:tcPr>
          <w:p w14:paraId="7A2F8A0C"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tc>
      </w:tr>
      <w:tr w:rsidR="00677B3F" w:rsidRPr="00BA72AD" w14:paraId="1659A298" w14:textId="77777777" w:rsidTr="005906F6">
        <w:tc>
          <w:tcPr>
            <w:tcW w:w="4478" w:type="dxa"/>
            <w:gridSpan w:val="3"/>
          </w:tcPr>
          <w:p w14:paraId="1CCCA0FF" w14:textId="77777777" w:rsidR="00677B3F" w:rsidRPr="00A31F1C" w:rsidRDefault="00677B3F" w:rsidP="005906F6">
            <w:pPr>
              <w:autoSpaceDE w:val="0"/>
              <w:autoSpaceDN w:val="0"/>
              <w:adjustRightInd w:val="0"/>
              <w:rPr>
                <w:rFonts w:ascii="Times New Roman" w:hAnsi="Times New Roman"/>
                <w:sz w:val="24"/>
                <w:szCs w:val="24"/>
              </w:rPr>
            </w:pPr>
            <w:r w:rsidRPr="00A31F1C">
              <w:rPr>
                <w:rFonts w:ascii="Times New Roman" w:hAnsi="Times New Roman"/>
                <w:sz w:val="24"/>
                <w:szCs w:val="24"/>
                <w:lang w:val="ro-RO"/>
              </w:rPr>
              <w:t>1</w:t>
            </w:r>
            <w:r w:rsidRPr="00A31F1C">
              <w:rPr>
                <w:rFonts w:ascii="Times New Roman" w:hAnsi="Times New Roman"/>
                <w:sz w:val="24"/>
                <w:szCs w:val="24"/>
                <w:vertAlign w:val="superscript"/>
                <w:lang w:val="ro-RO"/>
              </w:rPr>
              <w:t xml:space="preserve">1 </w:t>
            </w:r>
            <w:r w:rsidRPr="00A31F1C">
              <w:rPr>
                <w:rFonts w:ascii="Times New Roman" w:hAnsi="Times New Roman"/>
                <w:sz w:val="24"/>
                <w:szCs w:val="24"/>
              </w:rPr>
              <w:t>Compatibilitatea proiectului de act normativ cu legislaţia în domeniul achiziţiilor publice:</w:t>
            </w:r>
          </w:p>
          <w:p w14:paraId="714908D6" w14:textId="77777777" w:rsidR="00677B3F" w:rsidRPr="00A31F1C" w:rsidRDefault="00677B3F" w:rsidP="005906F6">
            <w:pPr>
              <w:autoSpaceDE w:val="0"/>
              <w:autoSpaceDN w:val="0"/>
              <w:adjustRightInd w:val="0"/>
              <w:rPr>
                <w:rFonts w:ascii="Times New Roman" w:hAnsi="Times New Roman"/>
                <w:sz w:val="24"/>
                <w:szCs w:val="24"/>
              </w:rPr>
            </w:pPr>
            <w:r w:rsidRPr="00A31F1C">
              <w:rPr>
                <w:rFonts w:ascii="Times New Roman" w:hAnsi="Times New Roman"/>
                <w:sz w:val="24"/>
                <w:szCs w:val="24"/>
              </w:rPr>
              <w:t>a) impact legislativ - prevederi de modificare şi completare a cadrului normativ în domeniul achiziţiilor publice, prevederi derogatorii;</w:t>
            </w:r>
          </w:p>
          <w:p w14:paraId="19E4EE68"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rPr>
              <w:t xml:space="preserve">    b) norme cu impact la nivel operaţional/tehnic - sisteme electronice utilizate în desfăşurarea procedurilor de achiziţie publică, unităţi centralizate de </w:t>
            </w:r>
            <w:r w:rsidRPr="00A31F1C">
              <w:rPr>
                <w:rFonts w:ascii="Times New Roman" w:hAnsi="Times New Roman"/>
                <w:sz w:val="24"/>
                <w:szCs w:val="24"/>
              </w:rPr>
              <w:lastRenderedPageBreak/>
              <w:t>achiziţii publice, structură organizatorică internă a autorităţilor contractante</w:t>
            </w:r>
            <w:r w:rsidRPr="00A31F1C">
              <w:rPr>
                <w:rFonts w:ascii="Times New Roman" w:hAnsi="Times New Roman"/>
                <w:sz w:val="28"/>
                <w:szCs w:val="28"/>
              </w:rPr>
              <w:t>.</w:t>
            </w:r>
          </w:p>
        </w:tc>
        <w:tc>
          <w:tcPr>
            <w:tcW w:w="5957" w:type="dxa"/>
            <w:gridSpan w:val="8"/>
          </w:tcPr>
          <w:p w14:paraId="7E9ADE93"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lastRenderedPageBreak/>
              <w:t>Proiectul de act normativ nu se referă la acest subiect.</w:t>
            </w:r>
          </w:p>
        </w:tc>
      </w:tr>
      <w:tr w:rsidR="00677B3F" w:rsidRPr="00BA72AD" w14:paraId="2EE8BC00" w14:textId="77777777" w:rsidTr="0012650B">
        <w:trPr>
          <w:trHeight w:val="743"/>
        </w:trPr>
        <w:tc>
          <w:tcPr>
            <w:tcW w:w="4478" w:type="dxa"/>
            <w:gridSpan w:val="3"/>
          </w:tcPr>
          <w:p w14:paraId="07BF57FF"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2. Compatibilitatea proiectului de act normativ cu legislaţia comunitară în materie</w:t>
            </w:r>
          </w:p>
        </w:tc>
        <w:tc>
          <w:tcPr>
            <w:tcW w:w="5957" w:type="dxa"/>
            <w:gridSpan w:val="8"/>
          </w:tcPr>
          <w:p w14:paraId="4B7DA9D2" w14:textId="018FD9B3" w:rsidR="00677B3F" w:rsidRPr="00A31F1C" w:rsidRDefault="00677B3F" w:rsidP="0012650B">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tc>
      </w:tr>
      <w:tr w:rsidR="00677B3F" w:rsidRPr="00BA72AD" w14:paraId="4976C6A0" w14:textId="77777777" w:rsidTr="0012650B">
        <w:trPr>
          <w:trHeight w:val="806"/>
        </w:trPr>
        <w:tc>
          <w:tcPr>
            <w:tcW w:w="4478" w:type="dxa"/>
            <w:gridSpan w:val="3"/>
          </w:tcPr>
          <w:p w14:paraId="31811641"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3. Măsuri normative necesare aplicării directe a actelor normative comunitare</w:t>
            </w:r>
          </w:p>
        </w:tc>
        <w:tc>
          <w:tcPr>
            <w:tcW w:w="5957" w:type="dxa"/>
            <w:gridSpan w:val="8"/>
          </w:tcPr>
          <w:p w14:paraId="625DF46C" w14:textId="2D7BCDB8" w:rsidR="00677B3F" w:rsidRPr="00A31F1C" w:rsidRDefault="00677B3F" w:rsidP="0012650B">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tc>
      </w:tr>
      <w:tr w:rsidR="00677B3F" w:rsidRPr="00BA72AD" w14:paraId="6C054A43" w14:textId="77777777" w:rsidTr="005906F6">
        <w:tc>
          <w:tcPr>
            <w:tcW w:w="4478" w:type="dxa"/>
            <w:gridSpan w:val="3"/>
          </w:tcPr>
          <w:p w14:paraId="6CAEB779"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4. Hotărâri ale Curţii Europene de Justiţie a Uniunii Europene</w:t>
            </w:r>
          </w:p>
        </w:tc>
        <w:tc>
          <w:tcPr>
            <w:tcW w:w="5957" w:type="dxa"/>
            <w:gridSpan w:val="8"/>
          </w:tcPr>
          <w:p w14:paraId="05C18483"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tc>
      </w:tr>
      <w:tr w:rsidR="00677B3F" w:rsidRPr="00BA72AD" w14:paraId="4D2AB3EB" w14:textId="77777777" w:rsidTr="005906F6">
        <w:tc>
          <w:tcPr>
            <w:tcW w:w="4478" w:type="dxa"/>
            <w:gridSpan w:val="3"/>
          </w:tcPr>
          <w:p w14:paraId="21FEE0C8"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5. Alte acte normative şi/sau documente internaţionale din care decurg angajamente</w:t>
            </w:r>
          </w:p>
        </w:tc>
        <w:tc>
          <w:tcPr>
            <w:tcW w:w="5957" w:type="dxa"/>
            <w:gridSpan w:val="8"/>
          </w:tcPr>
          <w:p w14:paraId="4A02169F"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 xml:space="preserve">Proiectul de act normativ nu se referă la acest subiect. </w:t>
            </w:r>
          </w:p>
        </w:tc>
      </w:tr>
      <w:tr w:rsidR="00677B3F" w:rsidRPr="00BA72AD" w14:paraId="4417AC1D" w14:textId="77777777" w:rsidTr="005906F6">
        <w:tc>
          <w:tcPr>
            <w:tcW w:w="4478" w:type="dxa"/>
            <w:gridSpan w:val="3"/>
          </w:tcPr>
          <w:p w14:paraId="7A451642"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6. Alte informaţi</w:t>
            </w:r>
          </w:p>
        </w:tc>
        <w:tc>
          <w:tcPr>
            <w:tcW w:w="5957" w:type="dxa"/>
            <w:gridSpan w:val="8"/>
          </w:tcPr>
          <w:p w14:paraId="4773E4A7"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Nu au fost identificate</w:t>
            </w:r>
          </w:p>
        </w:tc>
      </w:tr>
      <w:tr w:rsidR="00677B3F" w:rsidRPr="00BA72AD" w14:paraId="5C30C180" w14:textId="77777777" w:rsidTr="005906F6">
        <w:trPr>
          <w:trHeight w:val="741"/>
        </w:trPr>
        <w:tc>
          <w:tcPr>
            <w:tcW w:w="10435" w:type="dxa"/>
            <w:gridSpan w:val="11"/>
          </w:tcPr>
          <w:p w14:paraId="5B32BF62" w14:textId="77777777" w:rsidR="00677B3F" w:rsidRPr="00A31F1C" w:rsidRDefault="00677B3F" w:rsidP="00B54701">
            <w:pPr>
              <w:spacing w:after="120" w:line="240" w:lineRule="auto"/>
              <w:jc w:val="center"/>
              <w:rPr>
                <w:rFonts w:ascii="Times New Roman" w:hAnsi="Times New Roman"/>
                <w:b/>
                <w:sz w:val="24"/>
                <w:szCs w:val="24"/>
                <w:lang w:val="ro-RO"/>
              </w:rPr>
            </w:pPr>
          </w:p>
          <w:p w14:paraId="44E4ED31" w14:textId="77777777" w:rsidR="00677B3F" w:rsidRDefault="00677B3F" w:rsidP="00B54701">
            <w:pPr>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Secţiunea a 6-a: Consultările efectuate în vederea elaborării proiectului de act normativ</w:t>
            </w:r>
          </w:p>
          <w:p w14:paraId="1D6C3B6F" w14:textId="77777777" w:rsidR="00677B3F" w:rsidRPr="00A31F1C" w:rsidRDefault="00677B3F" w:rsidP="005906F6">
            <w:pPr>
              <w:jc w:val="center"/>
              <w:rPr>
                <w:rFonts w:ascii="Times New Roman" w:hAnsi="Times New Roman"/>
                <w:b/>
                <w:sz w:val="24"/>
                <w:szCs w:val="24"/>
                <w:lang w:val="ro-RO"/>
              </w:rPr>
            </w:pPr>
          </w:p>
        </w:tc>
      </w:tr>
      <w:tr w:rsidR="00677B3F" w:rsidRPr="00BA72AD" w14:paraId="17CE70D4" w14:textId="77777777" w:rsidTr="005906F6">
        <w:tc>
          <w:tcPr>
            <w:tcW w:w="4478" w:type="dxa"/>
            <w:gridSpan w:val="3"/>
          </w:tcPr>
          <w:p w14:paraId="557C43D5"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1. Informaţii privind procesul de consultare cu organizaţii neguvernamentale, institute de cercetare şi alte organisme implicate</w:t>
            </w:r>
          </w:p>
        </w:tc>
        <w:tc>
          <w:tcPr>
            <w:tcW w:w="5957" w:type="dxa"/>
            <w:gridSpan w:val="8"/>
          </w:tcPr>
          <w:p w14:paraId="1B4337A5"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p w14:paraId="7CBA72AE" w14:textId="77777777" w:rsidR="00677B3F" w:rsidRPr="00A31F1C" w:rsidRDefault="00677B3F" w:rsidP="005906F6">
            <w:pPr>
              <w:rPr>
                <w:rFonts w:ascii="Times New Roman" w:hAnsi="Times New Roman"/>
                <w:sz w:val="24"/>
                <w:szCs w:val="24"/>
                <w:lang w:val="ro-RO"/>
              </w:rPr>
            </w:pPr>
          </w:p>
        </w:tc>
      </w:tr>
      <w:tr w:rsidR="00677B3F" w:rsidRPr="00BA72AD" w14:paraId="205D5273" w14:textId="77777777" w:rsidTr="005906F6">
        <w:tc>
          <w:tcPr>
            <w:tcW w:w="4478" w:type="dxa"/>
            <w:gridSpan w:val="3"/>
          </w:tcPr>
          <w:p w14:paraId="65CB32FB"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2. Fundamentarea alegerii organizaţiilor cu care a avut loc consultarea, precum şi a modului în care activitatea acestor organizaţii este legată de obiectul proiectului de act normativ</w:t>
            </w:r>
          </w:p>
        </w:tc>
        <w:tc>
          <w:tcPr>
            <w:tcW w:w="5957" w:type="dxa"/>
            <w:gridSpan w:val="8"/>
          </w:tcPr>
          <w:p w14:paraId="3F6FA957"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p w14:paraId="39C0467F" w14:textId="77777777" w:rsidR="00677B3F" w:rsidRPr="00A31F1C" w:rsidRDefault="00677B3F" w:rsidP="005906F6">
            <w:pPr>
              <w:spacing w:line="360" w:lineRule="auto"/>
              <w:rPr>
                <w:rFonts w:ascii="Times New Roman" w:hAnsi="Times New Roman"/>
                <w:sz w:val="24"/>
                <w:szCs w:val="24"/>
                <w:lang w:val="ro-RO"/>
              </w:rPr>
            </w:pPr>
          </w:p>
        </w:tc>
      </w:tr>
      <w:tr w:rsidR="00677B3F" w:rsidRPr="00BA72AD" w14:paraId="5EABF2FA" w14:textId="77777777" w:rsidTr="005906F6">
        <w:tc>
          <w:tcPr>
            <w:tcW w:w="4478" w:type="dxa"/>
            <w:gridSpan w:val="3"/>
          </w:tcPr>
          <w:p w14:paraId="3730D73A"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957" w:type="dxa"/>
            <w:gridSpan w:val="8"/>
          </w:tcPr>
          <w:p w14:paraId="67BD908D"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p w14:paraId="6E5F722C" w14:textId="77777777" w:rsidR="00677B3F" w:rsidRPr="00A31F1C" w:rsidRDefault="00677B3F" w:rsidP="005906F6">
            <w:pPr>
              <w:rPr>
                <w:rFonts w:ascii="Times New Roman" w:hAnsi="Times New Roman"/>
                <w:sz w:val="24"/>
                <w:szCs w:val="24"/>
                <w:lang w:val="ro-RO"/>
              </w:rPr>
            </w:pPr>
          </w:p>
        </w:tc>
      </w:tr>
      <w:tr w:rsidR="00677B3F" w:rsidRPr="00BA72AD" w14:paraId="3C189FFB" w14:textId="77777777" w:rsidTr="005906F6">
        <w:tc>
          <w:tcPr>
            <w:tcW w:w="4478" w:type="dxa"/>
            <w:gridSpan w:val="3"/>
          </w:tcPr>
          <w:p w14:paraId="4879BCC2" w14:textId="495057B2"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 xml:space="preserve">4. Consultările desfăşurate în cadrul consiliilor interministeriale, în conformitate cu prevederile Hotărârii Guvernului nr. </w:t>
            </w:r>
            <w:r w:rsidRPr="00A31F1C">
              <w:rPr>
                <w:rFonts w:ascii="Times New Roman" w:hAnsi="Times New Roman"/>
                <w:sz w:val="24"/>
                <w:szCs w:val="24"/>
                <w:lang w:val="ro-RO"/>
              </w:rPr>
              <w:lastRenderedPageBreak/>
              <w:t>750/2005 privind constituirea consiliilor interministeriale permanente</w:t>
            </w:r>
          </w:p>
        </w:tc>
        <w:tc>
          <w:tcPr>
            <w:tcW w:w="5957" w:type="dxa"/>
            <w:gridSpan w:val="8"/>
          </w:tcPr>
          <w:p w14:paraId="014B2D61" w14:textId="77777777" w:rsidR="00677B3F" w:rsidRPr="00A31F1C" w:rsidRDefault="00677B3F" w:rsidP="005906F6">
            <w:pPr>
              <w:spacing w:line="360" w:lineRule="auto"/>
              <w:rPr>
                <w:rFonts w:ascii="Times New Roman" w:hAnsi="Times New Roman"/>
                <w:sz w:val="24"/>
                <w:szCs w:val="24"/>
                <w:lang w:val="ro-RO"/>
              </w:rPr>
            </w:pPr>
            <w:r w:rsidRPr="00A31F1C">
              <w:rPr>
                <w:rFonts w:ascii="Times New Roman" w:hAnsi="Times New Roman"/>
                <w:sz w:val="24"/>
                <w:szCs w:val="24"/>
                <w:lang w:val="ro-RO"/>
              </w:rPr>
              <w:lastRenderedPageBreak/>
              <w:t>Acest proiect nu este supus consultărilor comisiilor interministeriale</w:t>
            </w:r>
          </w:p>
        </w:tc>
      </w:tr>
      <w:tr w:rsidR="00677B3F" w:rsidRPr="00BA72AD" w14:paraId="5723E521" w14:textId="77777777" w:rsidTr="005906F6">
        <w:tc>
          <w:tcPr>
            <w:tcW w:w="4478" w:type="dxa"/>
            <w:gridSpan w:val="3"/>
          </w:tcPr>
          <w:p w14:paraId="17BE2D70" w14:textId="77777777"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5. Informaţii privind avizarea către:</w:t>
            </w:r>
          </w:p>
          <w:p w14:paraId="75E1EB0A" w14:textId="77777777"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a) Consiliul Legislativ</w:t>
            </w:r>
          </w:p>
          <w:p w14:paraId="7702D82A" w14:textId="77777777"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b) Consiliul Suprem de Apărare a Ţării</w:t>
            </w:r>
          </w:p>
          <w:p w14:paraId="432BB513" w14:textId="77777777"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c) Consiliul Economic şi Social</w:t>
            </w:r>
          </w:p>
          <w:p w14:paraId="7ECE7071" w14:textId="77777777"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d) Consiliul Concurenţei</w:t>
            </w:r>
          </w:p>
          <w:p w14:paraId="50BC9763" w14:textId="77777777" w:rsidR="00677B3F" w:rsidRPr="00A31F1C" w:rsidRDefault="00677B3F" w:rsidP="0012650B">
            <w:pPr>
              <w:autoSpaceDE w:val="0"/>
              <w:autoSpaceDN w:val="0"/>
              <w:adjustRightInd w:val="0"/>
              <w:spacing w:after="120" w:line="240" w:lineRule="auto"/>
              <w:rPr>
                <w:rFonts w:ascii="Times New Roman" w:hAnsi="Times New Roman"/>
                <w:sz w:val="24"/>
                <w:szCs w:val="24"/>
                <w:lang w:val="ro-RO"/>
              </w:rPr>
            </w:pPr>
            <w:r w:rsidRPr="00A31F1C">
              <w:rPr>
                <w:rFonts w:ascii="Times New Roman" w:hAnsi="Times New Roman"/>
                <w:sz w:val="24"/>
                <w:szCs w:val="24"/>
                <w:lang w:val="ro-RO"/>
              </w:rPr>
              <w:t>e) Curtea de Conturi</w:t>
            </w:r>
          </w:p>
        </w:tc>
        <w:tc>
          <w:tcPr>
            <w:tcW w:w="5957" w:type="dxa"/>
            <w:gridSpan w:val="8"/>
          </w:tcPr>
          <w:p w14:paraId="6E088003"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nu se referă la acest subiect.</w:t>
            </w:r>
          </w:p>
        </w:tc>
      </w:tr>
      <w:tr w:rsidR="00677B3F" w:rsidRPr="00BA72AD" w14:paraId="17FA3187" w14:textId="77777777" w:rsidTr="005906F6">
        <w:tc>
          <w:tcPr>
            <w:tcW w:w="4478" w:type="dxa"/>
            <w:gridSpan w:val="3"/>
          </w:tcPr>
          <w:p w14:paraId="171A0E83"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6. Alte informaţii</w:t>
            </w:r>
          </w:p>
        </w:tc>
        <w:tc>
          <w:tcPr>
            <w:tcW w:w="5957" w:type="dxa"/>
            <w:gridSpan w:val="8"/>
          </w:tcPr>
          <w:p w14:paraId="5DAB842A"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Nu au fost identificate.</w:t>
            </w:r>
          </w:p>
        </w:tc>
      </w:tr>
      <w:tr w:rsidR="00677B3F" w:rsidRPr="00BA72AD" w14:paraId="4C10FD59" w14:textId="77777777" w:rsidTr="005906F6">
        <w:tc>
          <w:tcPr>
            <w:tcW w:w="10435" w:type="dxa"/>
            <w:gridSpan w:val="11"/>
          </w:tcPr>
          <w:p w14:paraId="744ABB97" w14:textId="77777777" w:rsidR="00677B3F" w:rsidRPr="00A31F1C" w:rsidRDefault="00677B3F" w:rsidP="00B54701">
            <w:pPr>
              <w:autoSpaceDE w:val="0"/>
              <w:autoSpaceDN w:val="0"/>
              <w:adjustRightInd w:val="0"/>
              <w:spacing w:after="120" w:line="240" w:lineRule="auto"/>
              <w:jc w:val="center"/>
              <w:rPr>
                <w:rFonts w:ascii="Times New Roman" w:hAnsi="Times New Roman"/>
                <w:b/>
                <w:sz w:val="24"/>
                <w:szCs w:val="24"/>
                <w:lang w:val="ro-RO"/>
              </w:rPr>
            </w:pPr>
          </w:p>
          <w:p w14:paraId="6E7530B2" w14:textId="77777777" w:rsidR="00677B3F" w:rsidRDefault="00677B3F" w:rsidP="00B54701">
            <w:pPr>
              <w:autoSpaceDE w:val="0"/>
              <w:autoSpaceDN w:val="0"/>
              <w:adjustRightInd w:val="0"/>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Secţiunea a 7-a: Activităţi de informare publică privind elaborarea şi implementarea proiectului de act normativ</w:t>
            </w:r>
          </w:p>
          <w:p w14:paraId="40746344" w14:textId="50913A44" w:rsidR="00FD0169" w:rsidRPr="00A31F1C" w:rsidRDefault="00FD0169" w:rsidP="00FD0169">
            <w:pPr>
              <w:autoSpaceDE w:val="0"/>
              <w:autoSpaceDN w:val="0"/>
              <w:adjustRightInd w:val="0"/>
              <w:jc w:val="center"/>
              <w:rPr>
                <w:rFonts w:ascii="Times New Roman" w:hAnsi="Times New Roman"/>
                <w:b/>
                <w:sz w:val="24"/>
                <w:szCs w:val="24"/>
                <w:lang w:val="ro-RO"/>
              </w:rPr>
            </w:pPr>
          </w:p>
        </w:tc>
      </w:tr>
      <w:tr w:rsidR="00677B3F" w:rsidRPr="00BA72AD" w14:paraId="4757D3ED" w14:textId="77777777" w:rsidTr="0012650B">
        <w:trPr>
          <w:trHeight w:val="1391"/>
        </w:trPr>
        <w:tc>
          <w:tcPr>
            <w:tcW w:w="4478" w:type="dxa"/>
            <w:gridSpan w:val="3"/>
          </w:tcPr>
          <w:p w14:paraId="5BA03822" w14:textId="2A411F8E" w:rsidR="00677B3F" w:rsidRPr="00A31F1C" w:rsidRDefault="00677B3F" w:rsidP="0012650B">
            <w:pPr>
              <w:autoSpaceDE w:val="0"/>
              <w:autoSpaceDN w:val="0"/>
              <w:adjustRightInd w:val="0"/>
              <w:ind w:left="-69"/>
              <w:rPr>
                <w:rFonts w:ascii="Times New Roman" w:hAnsi="Times New Roman"/>
                <w:sz w:val="24"/>
                <w:szCs w:val="24"/>
                <w:lang w:val="ro-RO"/>
              </w:rPr>
            </w:pPr>
            <w:r w:rsidRPr="00A31F1C">
              <w:rPr>
                <w:rFonts w:ascii="Times New Roman" w:hAnsi="Times New Roman"/>
                <w:sz w:val="24"/>
                <w:szCs w:val="24"/>
                <w:lang w:val="ro-RO"/>
              </w:rPr>
              <w:t>1. Informarea societăţii civile cu privire la necesitatea elaborării proiectului de act normativ</w:t>
            </w:r>
          </w:p>
        </w:tc>
        <w:tc>
          <w:tcPr>
            <w:tcW w:w="5957" w:type="dxa"/>
            <w:gridSpan w:val="8"/>
          </w:tcPr>
          <w:p w14:paraId="1D866184" w14:textId="1577294B" w:rsidR="00677B3F" w:rsidRPr="00502F72" w:rsidRDefault="00716A12" w:rsidP="005906F6">
            <w:pPr>
              <w:rPr>
                <w:rFonts w:ascii="Times New Roman" w:hAnsi="Times New Roman"/>
                <w:sz w:val="24"/>
                <w:szCs w:val="24"/>
              </w:rPr>
            </w:pPr>
            <w:r>
              <w:rPr>
                <w:rFonts w:ascii="Times New Roman" w:hAnsi="Times New Roman"/>
                <w:sz w:val="24"/>
                <w:szCs w:val="24"/>
                <w:lang w:val="ro-RO"/>
              </w:rPr>
              <w:t xml:space="preserve">Prezentul proiect de act </w:t>
            </w:r>
            <w:r w:rsidR="00407E40">
              <w:rPr>
                <w:rFonts w:ascii="Times New Roman" w:hAnsi="Times New Roman"/>
                <w:sz w:val="24"/>
                <w:szCs w:val="24"/>
                <w:lang w:val="ro-RO"/>
              </w:rPr>
              <w:t xml:space="preserve">normativ este supus procedurii prevăzute </w:t>
            </w:r>
            <w:r w:rsidR="009027A3">
              <w:rPr>
                <w:rFonts w:ascii="Times New Roman" w:hAnsi="Times New Roman"/>
                <w:sz w:val="24"/>
                <w:szCs w:val="24"/>
                <w:lang w:val="ro-RO"/>
              </w:rPr>
              <w:t>de Legea nr. 52/2003 privind transparența decizională în administrația publică, republicată, cu modificările și completările ulterioare.</w:t>
            </w:r>
          </w:p>
        </w:tc>
      </w:tr>
      <w:tr w:rsidR="00677B3F" w:rsidRPr="00BA72AD" w14:paraId="3F7AE300" w14:textId="77777777" w:rsidTr="005906F6">
        <w:tc>
          <w:tcPr>
            <w:tcW w:w="4478" w:type="dxa"/>
            <w:gridSpan w:val="3"/>
          </w:tcPr>
          <w:p w14:paraId="0F6A162C"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957" w:type="dxa"/>
            <w:gridSpan w:val="8"/>
          </w:tcPr>
          <w:p w14:paraId="73E15F1D"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p w14:paraId="280AC02A" w14:textId="77777777" w:rsidR="00677B3F" w:rsidRPr="00A31F1C" w:rsidRDefault="00677B3F" w:rsidP="005906F6">
            <w:pPr>
              <w:rPr>
                <w:rFonts w:ascii="Times New Roman" w:hAnsi="Times New Roman"/>
                <w:sz w:val="24"/>
                <w:szCs w:val="24"/>
                <w:lang w:val="ro-RO"/>
              </w:rPr>
            </w:pPr>
          </w:p>
        </w:tc>
      </w:tr>
      <w:tr w:rsidR="00677B3F" w:rsidRPr="00BA72AD" w14:paraId="39D17769" w14:textId="77777777" w:rsidTr="005906F6">
        <w:tc>
          <w:tcPr>
            <w:tcW w:w="4478" w:type="dxa"/>
            <w:gridSpan w:val="3"/>
          </w:tcPr>
          <w:p w14:paraId="6863455F"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3. Alte informaţii</w:t>
            </w:r>
          </w:p>
        </w:tc>
        <w:tc>
          <w:tcPr>
            <w:tcW w:w="5957" w:type="dxa"/>
            <w:gridSpan w:val="8"/>
          </w:tcPr>
          <w:p w14:paraId="43694D90"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Nu au fost identificate</w:t>
            </w:r>
          </w:p>
        </w:tc>
      </w:tr>
      <w:tr w:rsidR="00677B3F" w:rsidRPr="00BA72AD" w14:paraId="5380C59C" w14:textId="77777777" w:rsidTr="005906F6">
        <w:trPr>
          <w:trHeight w:val="269"/>
        </w:trPr>
        <w:tc>
          <w:tcPr>
            <w:tcW w:w="10435" w:type="dxa"/>
            <w:gridSpan w:val="11"/>
          </w:tcPr>
          <w:p w14:paraId="33DED8C7" w14:textId="77777777" w:rsidR="00677B3F" w:rsidRPr="00A31F1C" w:rsidRDefault="00677B3F" w:rsidP="00B54701">
            <w:pPr>
              <w:autoSpaceDE w:val="0"/>
              <w:autoSpaceDN w:val="0"/>
              <w:adjustRightInd w:val="0"/>
              <w:spacing w:after="120" w:line="240" w:lineRule="auto"/>
              <w:jc w:val="center"/>
              <w:rPr>
                <w:rFonts w:ascii="Times New Roman" w:hAnsi="Times New Roman"/>
                <w:b/>
                <w:sz w:val="24"/>
                <w:szCs w:val="24"/>
                <w:lang w:val="ro-RO"/>
              </w:rPr>
            </w:pPr>
          </w:p>
          <w:p w14:paraId="0456588E" w14:textId="77777777" w:rsidR="00677B3F" w:rsidRDefault="00677B3F" w:rsidP="00B54701">
            <w:pPr>
              <w:autoSpaceDE w:val="0"/>
              <w:autoSpaceDN w:val="0"/>
              <w:adjustRightInd w:val="0"/>
              <w:spacing w:after="120" w:line="240" w:lineRule="auto"/>
              <w:jc w:val="center"/>
              <w:rPr>
                <w:rFonts w:ascii="Times New Roman" w:hAnsi="Times New Roman"/>
                <w:b/>
                <w:sz w:val="24"/>
                <w:szCs w:val="24"/>
                <w:lang w:val="ro-RO"/>
              </w:rPr>
            </w:pPr>
            <w:r w:rsidRPr="00A31F1C">
              <w:rPr>
                <w:rFonts w:ascii="Times New Roman" w:hAnsi="Times New Roman"/>
                <w:b/>
                <w:sz w:val="24"/>
                <w:szCs w:val="24"/>
                <w:lang w:val="ro-RO"/>
              </w:rPr>
              <w:t>Secţiunea a 8-a: Măsuri de implementare</w:t>
            </w:r>
          </w:p>
          <w:p w14:paraId="34AFB35D" w14:textId="524035A2" w:rsidR="00B54701" w:rsidRPr="00A31F1C" w:rsidRDefault="00B54701" w:rsidP="00B54701">
            <w:pPr>
              <w:autoSpaceDE w:val="0"/>
              <w:autoSpaceDN w:val="0"/>
              <w:adjustRightInd w:val="0"/>
              <w:spacing w:after="120" w:line="240" w:lineRule="auto"/>
              <w:jc w:val="center"/>
              <w:rPr>
                <w:rFonts w:ascii="Times New Roman" w:hAnsi="Times New Roman"/>
                <w:b/>
                <w:sz w:val="24"/>
                <w:szCs w:val="24"/>
                <w:lang w:val="ro-RO"/>
              </w:rPr>
            </w:pPr>
          </w:p>
        </w:tc>
      </w:tr>
      <w:tr w:rsidR="00677B3F" w:rsidRPr="00BA72AD" w14:paraId="36135628" w14:textId="77777777" w:rsidTr="005906F6">
        <w:tc>
          <w:tcPr>
            <w:tcW w:w="4478" w:type="dxa"/>
            <w:gridSpan w:val="3"/>
          </w:tcPr>
          <w:p w14:paraId="0E29CED0"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5957" w:type="dxa"/>
            <w:gridSpan w:val="8"/>
          </w:tcPr>
          <w:p w14:paraId="74EFAC92"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Proiectul de act normativ nu se referă la acest subiect.</w:t>
            </w:r>
          </w:p>
          <w:p w14:paraId="29BC40EC" w14:textId="77777777" w:rsidR="00677B3F" w:rsidRPr="00A31F1C" w:rsidRDefault="00677B3F" w:rsidP="005906F6">
            <w:pPr>
              <w:rPr>
                <w:rFonts w:ascii="Times New Roman" w:hAnsi="Times New Roman"/>
                <w:sz w:val="24"/>
                <w:szCs w:val="24"/>
                <w:lang w:val="ro-RO"/>
              </w:rPr>
            </w:pPr>
          </w:p>
        </w:tc>
      </w:tr>
      <w:tr w:rsidR="00677B3F" w:rsidRPr="00BA72AD" w14:paraId="4D2EAF09" w14:textId="77777777" w:rsidTr="005906F6">
        <w:tc>
          <w:tcPr>
            <w:tcW w:w="4478" w:type="dxa"/>
            <w:gridSpan w:val="3"/>
          </w:tcPr>
          <w:p w14:paraId="1EDD0DC2" w14:textId="77777777" w:rsidR="00677B3F" w:rsidRPr="00A31F1C" w:rsidRDefault="00677B3F" w:rsidP="005906F6">
            <w:pPr>
              <w:autoSpaceDE w:val="0"/>
              <w:autoSpaceDN w:val="0"/>
              <w:adjustRightInd w:val="0"/>
              <w:rPr>
                <w:rFonts w:ascii="Times New Roman" w:hAnsi="Times New Roman"/>
                <w:sz w:val="24"/>
                <w:szCs w:val="24"/>
                <w:lang w:val="ro-RO"/>
              </w:rPr>
            </w:pPr>
            <w:r w:rsidRPr="00A31F1C">
              <w:rPr>
                <w:rFonts w:ascii="Times New Roman" w:hAnsi="Times New Roman"/>
                <w:sz w:val="24"/>
                <w:szCs w:val="24"/>
                <w:lang w:val="ro-RO"/>
              </w:rPr>
              <w:t>2. Alte informaţii</w:t>
            </w:r>
          </w:p>
        </w:tc>
        <w:tc>
          <w:tcPr>
            <w:tcW w:w="5957" w:type="dxa"/>
            <w:gridSpan w:val="8"/>
          </w:tcPr>
          <w:p w14:paraId="21657B0F" w14:textId="77777777" w:rsidR="00677B3F" w:rsidRPr="00A31F1C" w:rsidRDefault="00677B3F" w:rsidP="005906F6">
            <w:pPr>
              <w:rPr>
                <w:rFonts w:ascii="Times New Roman" w:hAnsi="Times New Roman"/>
                <w:sz w:val="24"/>
                <w:szCs w:val="24"/>
                <w:lang w:val="ro-RO"/>
              </w:rPr>
            </w:pPr>
            <w:r w:rsidRPr="00A31F1C">
              <w:rPr>
                <w:rFonts w:ascii="Times New Roman" w:hAnsi="Times New Roman"/>
                <w:sz w:val="24"/>
                <w:szCs w:val="24"/>
                <w:lang w:val="ro-RO"/>
              </w:rPr>
              <w:t>Nu au fost identificate</w:t>
            </w:r>
          </w:p>
        </w:tc>
      </w:tr>
    </w:tbl>
    <w:p w14:paraId="29A4A9E1" w14:textId="408DE352" w:rsidR="00677B3F" w:rsidRPr="009E45BD" w:rsidRDefault="00677B3F" w:rsidP="00677B3F">
      <w:pPr>
        <w:rPr>
          <w:rFonts w:ascii="Times New Roman" w:hAnsi="Times New Roman"/>
          <w:b/>
          <w:sz w:val="24"/>
          <w:szCs w:val="24"/>
          <w:lang w:val="ro-RO"/>
        </w:rPr>
      </w:pPr>
      <w:r w:rsidRPr="009E45BD">
        <w:rPr>
          <w:rFonts w:ascii="Times New Roman" w:hAnsi="Times New Roman"/>
          <w:b/>
          <w:sz w:val="24"/>
          <w:szCs w:val="24"/>
          <w:lang w:val="ro-RO"/>
        </w:rPr>
        <w:lastRenderedPageBreak/>
        <w:t xml:space="preserve">Pentru considerentele de mai sus, am elaborat proiectul de Hotărâre a Guvernului </w:t>
      </w:r>
      <w:r w:rsidRPr="009E45BD">
        <w:rPr>
          <w:rFonts w:ascii="Times New Roman" w:hAnsi="Times New Roman"/>
          <w:b/>
          <w:sz w:val="24"/>
          <w:szCs w:val="24"/>
        </w:rPr>
        <w:t>pentru modificarea Hotărârii Guvernului nr. 221/2020 privind aprobarea ocupării temporare a terenului în suprafaţă de 16,8810 ha, din fondul forestier naţional, de către Societatea Națională de Transport Gaze Naturale ”Transgaz” SA Mediaș, pentru proiectul de importanță națională în domeniul gazelor naturale „Conductă de transport gaze naturale DN 250 Pojorâta – Vatra Dornei”</w:t>
      </w:r>
      <w:r w:rsidRPr="009E45BD">
        <w:rPr>
          <w:rFonts w:ascii="Times New Roman" w:hAnsi="Times New Roman"/>
          <w:b/>
          <w:sz w:val="24"/>
          <w:szCs w:val="24"/>
          <w:lang w:val="ro-RO"/>
        </w:rPr>
        <w:t>.</w:t>
      </w:r>
    </w:p>
    <w:p w14:paraId="2D15D47D" w14:textId="77777777" w:rsidR="00677B3F" w:rsidRPr="00BA72AD" w:rsidRDefault="00677B3F" w:rsidP="00677B3F">
      <w:pPr>
        <w:rPr>
          <w:rFonts w:ascii="Times New Roman" w:hAnsi="Times New Roman"/>
          <w:sz w:val="24"/>
          <w:szCs w:val="24"/>
          <w:lang w:val="ro-RO"/>
        </w:rPr>
      </w:pPr>
    </w:p>
    <w:tbl>
      <w:tblPr>
        <w:tblW w:w="0" w:type="auto"/>
        <w:tblLook w:val="01E0" w:firstRow="1" w:lastRow="1" w:firstColumn="1" w:lastColumn="1" w:noHBand="0" w:noVBand="0"/>
      </w:tblPr>
      <w:tblGrid>
        <w:gridCol w:w="10206"/>
      </w:tblGrid>
      <w:tr w:rsidR="00677B3F" w:rsidRPr="00BA72AD" w14:paraId="7A1960A1" w14:textId="77777777" w:rsidTr="005906F6">
        <w:tc>
          <w:tcPr>
            <w:tcW w:w="10476" w:type="dxa"/>
          </w:tcPr>
          <w:p w14:paraId="2F98203C" w14:textId="77777777" w:rsidR="00677B3F" w:rsidRPr="00BA72AD" w:rsidRDefault="00677B3F" w:rsidP="005906F6">
            <w:pPr>
              <w:spacing w:before="209" w:after="105"/>
              <w:jc w:val="center"/>
              <w:rPr>
                <w:rFonts w:ascii="Times New Roman" w:hAnsi="Times New Roman"/>
                <w:b/>
                <w:sz w:val="24"/>
                <w:szCs w:val="24"/>
                <w:lang w:val="ro-RO"/>
              </w:rPr>
            </w:pPr>
            <w:r w:rsidRPr="00BA72AD">
              <w:rPr>
                <w:rFonts w:ascii="Times New Roman" w:hAnsi="Times New Roman"/>
                <w:b/>
                <w:sz w:val="24"/>
                <w:szCs w:val="24"/>
                <w:lang w:val="ro-RO"/>
              </w:rPr>
              <w:t xml:space="preserve">MINISTRUL </w:t>
            </w:r>
            <w:r>
              <w:rPr>
                <w:rFonts w:ascii="Times New Roman" w:hAnsi="Times New Roman"/>
                <w:b/>
                <w:sz w:val="24"/>
                <w:szCs w:val="24"/>
                <w:lang w:val="ro-RO"/>
              </w:rPr>
              <w:t xml:space="preserve">MEDIULUI, </w:t>
            </w:r>
            <w:r w:rsidRPr="00BA72AD">
              <w:rPr>
                <w:rFonts w:ascii="Times New Roman" w:hAnsi="Times New Roman"/>
                <w:b/>
                <w:sz w:val="24"/>
                <w:szCs w:val="24"/>
                <w:lang w:val="ro-RO"/>
              </w:rPr>
              <w:t>APELOR ŞI PĂDURILOR</w:t>
            </w:r>
          </w:p>
        </w:tc>
      </w:tr>
      <w:tr w:rsidR="00677B3F" w:rsidRPr="00BA72AD" w14:paraId="7F3F7ED4" w14:textId="77777777" w:rsidTr="005906F6">
        <w:tc>
          <w:tcPr>
            <w:tcW w:w="10476" w:type="dxa"/>
          </w:tcPr>
          <w:p w14:paraId="3A9D0197" w14:textId="6DBA1D21" w:rsidR="00677B3F" w:rsidRPr="00375DDA" w:rsidRDefault="0079678A" w:rsidP="005906F6">
            <w:pPr>
              <w:spacing w:before="209" w:after="105"/>
              <w:jc w:val="center"/>
              <w:rPr>
                <w:rFonts w:ascii="Times New Roman" w:hAnsi="Times New Roman"/>
                <w:b/>
                <w:sz w:val="24"/>
                <w:szCs w:val="24"/>
                <w:lang w:val="ro-RO"/>
              </w:rPr>
            </w:pPr>
            <w:hyperlink r:id="rId10" w:history="1">
              <w:r w:rsidR="00123793" w:rsidRPr="00375DDA">
                <w:rPr>
                  <w:rFonts w:ascii="Times New Roman" w:hAnsi="Times New Roman"/>
                  <w:b/>
                  <w:sz w:val="24"/>
                  <w:szCs w:val="24"/>
                  <w:lang w:val="ro-RO"/>
                </w:rPr>
                <w:t>BARNA</w:t>
              </w:r>
              <w:r w:rsidR="00677B3F" w:rsidRPr="00375DDA">
                <w:rPr>
                  <w:rFonts w:ascii="Times New Roman" w:hAnsi="Times New Roman"/>
                  <w:b/>
                  <w:sz w:val="24"/>
                  <w:szCs w:val="24"/>
                  <w:lang w:val="ro-RO"/>
                </w:rPr>
                <w:t xml:space="preserve">  TÁNCZOS</w:t>
              </w:r>
            </w:hyperlink>
          </w:p>
          <w:p w14:paraId="3452D67F" w14:textId="77777777" w:rsidR="00677B3F" w:rsidRPr="00BA72AD" w:rsidRDefault="00677B3F" w:rsidP="005906F6">
            <w:pPr>
              <w:spacing w:before="209" w:after="105"/>
              <w:jc w:val="center"/>
              <w:rPr>
                <w:rFonts w:ascii="Times New Roman" w:hAnsi="Times New Roman"/>
                <w:b/>
                <w:sz w:val="24"/>
                <w:szCs w:val="24"/>
                <w:lang w:val="ro-RO"/>
              </w:rPr>
            </w:pPr>
          </w:p>
          <w:p w14:paraId="1785B362" w14:textId="77777777" w:rsidR="00677B3F" w:rsidRPr="00BA72AD" w:rsidRDefault="00677B3F" w:rsidP="005906F6">
            <w:pPr>
              <w:spacing w:before="209" w:after="105"/>
              <w:jc w:val="center"/>
              <w:rPr>
                <w:rFonts w:ascii="Times New Roman" w:hAnsi="Times New Roman"/>
                <w:b/>
                <w:sz w:val="24"/>
                <w:szCs w:val="24"/>
                <w:lang w:val="ro-RO"/>
              </w:rPr>
            </w:pPr>
          </w:p>
        </w:tc>
      </w:tr>
    </w:tbl>
    <w:p w14:paraId="6B0C2E5D" w14:textId="77777777" w:rsidR="00677B3F" w:rsidRDefault="00677B3F" w:rsidP="00677B3F">
      <w:pPr>
        <w:tabs>
          <w:tab w:val="left" w:pos="1276"/>
          <w:tab w:val="left" w:pos="4140"/>
        </w:tabs>
        <w:jc w:val="center"/>
        <w:rPr>
          <w:rFonts w:ascii="Times New Roman" w:hAnsi="Times New Roman"/>
          <w:b/>
          <w:sz w:val="24"/>
          <w:szCs w:val="24"/>
          <w:u w:val="single"/>
          <w:lang w:val="ro-RO"/>
        </w:rPr>
      </w:pPr>
      <w:r w:rsidRPr="00BA72AD">
        <w:rPr>
          <w:rFonts w:ascii="Times New Roman" w:hAnsi="Times New Roman"/>
          <w:b/>
          <w:sz w:val="24"/>
          <w:szCs w:val="24"/>
          <w:u w:val="single"/>
          <w:lang w:val="ro-RO"/>
        </w:rPr>
        <w:t>Avizăm favorabil:</w:t>
      </w:r>
    </w:p>
    <w:p w14:paraId="4D5B9607" w14:textId="77777777" w:rsidR="00677B3F" w:rsidRDefault="00677B3F" w:rsidP="00677B3F">
      <w:pPr>
        <w:tabs>
          <w:tab w:val="left" w:pos="1276"/>
          <w:tab w:val="left" w:pos="4140"/>
        </w:tabs>
        <w:jc w:val="center"/>
        <w:rPr>
          <w:rFonts w:ascii="Times New Roman" w:hAnsi="Times New Roman"/>
          <w:b/>
          <w:sz w:val="24"/>
          <w:szCs w:val="24"/>
          <w:u w:val="single"/>
          <w:lang w:val="ro-RO"/>
        </w:rPr>
      </w:pPr>
    </w:p>
    <w:p w14:paraId="4D976847" w14:textId="0F32778E" w:rsidR="00677B3F" w:rsidRDefault="00EF725F" w:rsidP="00104DB2">
      <w:pPr>
        <w:tabs>
          <w:tab w:val="left" w:pos="1276"/>
          <w:tab w:val="left" w:pos="414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VICEPRIM-MINISTRU</w:t>
      </w:r>
    </w:p>
    <w:p w14:paraId="1E214B45" w14:textId="13ED55A9" w:rsidR="00104DB2" w:rsidRDefault="00104DB2" w:rsidP="00104DB2">
      <w:pPr>
        <w:tabs>
          <w:tab w:val="left" w:pos="1276"/>
          <w:tab w:val="left" w:pos="4140"/>
        </w:tabs>
        <w:spacing w:after="0" w:line="240" w:lineRule="auto"/>
        <w:jc w:val="center"/>
        <w:rPr>
          <w:rFonts w:ascii="Times New Roman" w:hAnsi="Times New Roman"/>
          <w:b/>
          <w:sz w:val="24"/>
          <w:szCs w:val="24"/>
          <w:lang w:val="ro-RO"/>
        </w:rPr>
      </w:pPr>
    </w:p>
    <w:p w14:paraId="12FBF80F" w14:textId="298DDBA3" w:rsidR="00104DB2" w:rsidRDefault="00104DB2" w:rsidP="00104DB2">
      <w:pPr>
        <w:tabs>
          <w:tab w:val="left" w:pos="1276"/>
          <w:tab w:val="left" w:pos="4140"/>
        </w:tabs>
        <w:spacing w:after="0" w:line="240" w:lineRule="auto"/>
        <w:jc w:val="center"/>
        <w:rPr>
          <w:rFonts w:ascii="Times New Roman" w:hAnsi="Times New Roman"/>
          <w:b/>
          <w:sz w:val="24"/>
          <w:szCs w:val="24"/>
          <w:lang w:val="ro-RO"/>
        </w:rPr>
      </w:pPr>
    </w:p>
    <w:p w14:paraId="422FD096" w14:textId="77777777" w:rsidR="00104DB2" w:rsidRDefault="00104DB2" w:rsidP="00104DB2">
      <w:pPr>
        <w:tabs>
          <w:tab w:val="left" w:pos="1276"/>
          <w:tab w:val="left" w:pos="4140"/>
        </w:tabs>
        <w:spacing w:after="0" w:line="240" w:lineRule="auto"/>
        <w:jc w:val="center"/>
        <w:rPr>
          <w:rFonts w:ascii="Times New Roman" w:hAnsi="Times New Roman"/>
          <w:b/>
          <w:sz w:val="24"/>
          <w:szCs w:val="24"/>
          <w:lang w:val="ro-RO"/>
        </w:rPr>
      </w:pPr>
    </w:p>
    <w:p w14:paraId="0C3A0505" w14:textId="02F2389C" w:rsidR="00EF725F" w:rsidRDefault="00EF725F" w:rsidP="00104DB2">
      <w:pPr>
        <w:tabs>
          <w:tab w:val="left" w:pos="1276"/>
          <w:tab w:val="left" w:pos="414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KEL</w:t>
      </w:r>
      <w:r w:rsidR="0000631A">
        <w:rPr>
          <w:rFonts w:ascii="Times New Roman" w:hAnsi="Times New Roman"/>
          <w:b/>
          <w:sz w:val="24"/>
          <w:szCs w:val="24"/>
          <w:lang w:val="ro-RO"/>
        </w:rPr>
        <w:t>E</w:t>
      </w:r>
      <w:r>
        <w:rPr>
          <w:rFonts w:ascii="Times New Roman" w:hAnsi="Times New Roman"/>
          <w:b/>
          <w:sz w:val="24"/>
          <w:szCs w:val="24"/>
          <w:lang w:val="ro-RO"/>
        </w:rPr>
        <w:t>MEN HUNOR</w:t>
      </w:r>
    </w:p>
    <w:p w14:paraId="1D979659" w14:textId="77777777" w:rsidR="00104DB2" w:rsidRPr="00EF725F" w:rsidRDefault="00104DB2" w:rsidP="00104DB2">
      <w:pPr>
        <w:tabs>
          <w:tab w:val="left" w:pos="1276"/>
          <w:tab w:val="left" w:pos="4140"/>
        </w:tabs>
        <w:spacing w:after="0" w:line="240" w:lineRule="auto"/>
        <w:jc w:val="center"/>
        <w:rPr>
          <w:rFonts w:ascii="Times New Roman" w:hAnsi="Times New Roman"/>
          <w:b/>
          <w:sz w:val="24"/>
          <w:szCs w:val="24"/>
          <w:lang w:val="ro-RO"/>
        </w:rPr>
      </w:pPr>
    </w:p>
    <w:p w14:paraId="44884E8C" w14:textId="46342689" w:rsidR="00677B3F" w:rsidRDefault="00677B3F" w:rsidP="00104DB2">
      <w:pPr>
        <w:tabs>
          <w:tab w:val="left" w:pos="1276"/>
          <w:tab w:val="left" w:pos="4140"/>
        </w:tabs>
        <w:spacing w:after="0" w:line="240" w:lineRule="auto"/>
        <w:jc w:val="center"/>
        <w:rPr>
          <w:rFonts w:ascii="Times New Roman" w:hAnsi="Times New Roman"/>
          <w:b/>
          <w:sz w:val="24"/>
          <w:szCs w:val="24"/>
        </w:rPr>
      </w:pPr>
    </w:p>
    <w:p w14:paraId="59B72677" w14:textId="77777777" w:rsidR="00104DB2" w:rsidRDefault="00104DB2" w:rsidP="00104DB2">
      <w:pPr>
        <w:tabs>
          <w:tab w:val="left" w:pos="1276"/>
          <w:tab w:val="left" w:pos="4140"/>
        </w:tabs>
        <w:spacing w:after="0" w:line="240" w:lineRule="auto"/>
        <w:jc w:val="center"/>
        <w:rPr>
          <w:rFonts w:ascii="Times New Roman" w:hAnsi="Times New Roman"/>
          <w:b/>
          <w:sz w:val="24"/>
          <w:szCs w:val="24"/>
        </w:rPr>
      </w:pPr>
    </w:p>
    <w:p w14:paraId="3E92514D" w14:textId="77777777" w:rsidR="00104DB2" w:rsidRDefault="00104DB2" w:rsidP="00104DB2">
      <w:pPr>
        <w:tabs>
          <w:tab w:val="left" w:pos="1276"/>
          <w:tab w:val="left" w:pos="4140"/>
        </w:tabs>
        <w:spacing w:after="0" w:line="240" w:lineRule="auto"/>
        <w:jc w:val="center"/>
        <w:rPr>
          <w:rFonts w:ascii="Times New Roman" w:hAnsi="Times New Roman"/>
          <w:b/>
          <w:sz w:val="24"/>
          <w:szCs w:val="24"/>
        </w:rPr>
      </w:pPr>
    </w:p>
    <w:p w14:paraId="1854FB1E" w14:textId="77777777" w:rsidR="00104DB2" w:rsidRPr="00896AA6" w:rsidRDefault="00104DB2" w:rsidP="00104DB2">
      <w:pPr>
        <w:tabs>
          <w:tab w:val="left" w:pos="1276"/>
          <w:tab w:val="left" w:pos="4140"/>
        </w:tabs>
        <w:spacing w:after="0" w:line="240" w:lineRule="auto"/>
        <w:jc w:val="center"/>
        <w:rPr>
          <w:rFonts w:ascii="Times New Roman" w:hAnsi="Times New Roman"/>
          <w:b/>
          <w:sz w:val="24"/>
          <w:szCs w:val="24"/>
        </w:rPr>
      </w:pPr>
    </w:p>
    <w:p w14:paraId="655D0C75" w14:textId="0E45CDE5" w:rsidR="00104DB2" w:rsidRDefault="00D55DBB" w:rsidP="00104DB2">
      <w:pPr>
        <w:spacing w:after="0" w:line="240" w:lineRule="auto"/>
        <w:ind w:right="-230"/>
        <w:rPr>
          <w:rFonts w:ascii="Times New Roman" w:hAnsi="Times New Roman"/>
          <w:b/>
          <w:sz w:val="24"/>
          <w:szCs w:val="24"/>
        </w:rPr>
      </w:pPr>
      <w:r>
        <w:rPr>
          <w:rFonts w:ascii="Times New Roman" w:hAnsi="Times New Roman"/>
          <w:b/>
          <w:sz w:val="24"/>
          <w:szCs w:val="24"/>
        </w:rPr>
        <w:t>SECRETARUL GENERAL AL GUVERNULUI</w:t>
      </w:r>
      <w:r w:rsidR="00104DB2">
        <w:rPr>
          <w:rFonts w:ascii="Times New Roman" w:hAnsi="Times New Roman"/>
          <w:b/>
          <w:sz w:val="24"/>
          <w:szCs w:val="24"/>
        </w:rPr>
        <w:tab/>
      </w:r>
      <w:r w:rsidR="00677B3F">
        <w:rPr>
          <w:rFonts w:ascii="Times New Roman" w:hAnsi="Times New Roman"/>
          <w:b/>
          <w:sz w:val="24"/>
          <w:szCs w:val="24"/>
        </w:rPr>
        <w:t xml:space="preserve">  </w:t>
      </w:r>
      <w:r w:rsidR="00104DB2">
        <w:rPr>
          <w:rFonts w:ascii="Times New Roman" w:hAnsi="Times New Roman"/>
          <w:b/>
          <w:sz w:val="24"/>
          <w:szCs w:val="24"/>
        </w:rPr>
        <w:t xml:space="preserve">      </w:t>
      </w:r>
      <w:r w:rsidR="00677B3F" w:rsidRPr="00DA3440">
        <w:rPr>
          <w:rFonts w:ascii="Times New Roman" w:hAnsi="Times New Roman"/>
          <w:b/>
          <w:sz w:val="24"/>
          <w:szCs w:val="24"/>
        </w:rPr>
        <w:t>MINISTRUL ENERGIEI</w:t>
      </w:r>
    </w:p>
    <w:p w14:paraId="26F87248" w14:textId="77777777" w:rsidR="00104DB2" w:rsidRDefault="00104DB2" w:rsidP="00104DB2">
      <w:pPr>
        <w:spacing w:after="0" w:line="240" w:lineRule="auto"/>
        <w:ind w:right="-230"/>
        <w:rPr>
          <w:rFonts w:ascii="Times New Roman" w:hAnsi="Times New Roman"/>
          <w:b/>
          <w:sz w:val="24"/>
          <w:szCs w:val="24"/>
        </w:rPr>
      </w:pPr>
    </w:p>
    <w:p w14:paraId="372EFE63" w14:textId="77777777" w:rsidR="00104DB2" w:rsidRDefault="00104DB2" w:rsidP="00104DB2">
      <w:pPr>
        <w:spacing w:after="0" w:line="240" w:lineRule="auto"/>
        <w:ind w:right="-230"/>
        <w:rPr>
          <w:rFonts w:ascii="Times New Roman" w:hAnsi="Times New Roman"/>
          <w:b/>
          <w:sz w:val="24"/>
          <w:szCs w:val="24"/>
        </w:rPr>
      </w:pPr>
    </w:p>
    <w:p w14:paraId="3C3A3A22" w14:textId="3DB3D63F" w:rsidR="00677B3F" w:rsidRPr="00104DB2" w:rsidRDefault="00677B3F" w:rsidP="00104DB2">
      <w:pPr>
        <w:spacing w:after="0" w:line="240" w:lineRule="auto"/>
        <w:ind w:right="-230"/>
        <w:rPr>
          <w:rFonts w:ascii="Times New Roman" w:hAnsi="Times New Roman"/>
          <w:b/>
          <w:sz w:val="24"/>
          <w:szCs w:val="24"/>
          <w:lang w:val="ro-RO"/>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r w:rsidR="00A725DD" w:rsidRPr="00104DB2">
        <w:rPr>
          <w:rFonts w:ascii="Times New Roman" w:hAnsi="Times New Roman"/>
          <w:b/>
          <w:sz w:val="24"/>
          <w:szCs w:val="24"/>
          <w:lang w:val="ro-RO"/>
        </w:rPr>
        <w:tab/>
      </w:r>
      <w:r w:rsidR="00A725DD" w:rsidRPr="00104DB2">
        <w:rPr>
          <w:rFonts w:ascii="Times New Roman" w:hAnsi="Times New Roman"/>
          <w:b/>
          <w:sz w:val="24"/>
          <w:szCs w:val="24"/>
          <w:lang w:val="ro-RO"/>
        </w:rPr>
        <w:tab/>
      </w:r>
      <w:r w:rsidR="00A725DD" w:rsidRPr="00104DB2">
        <w:rPr>
          <w:rFonts w:ascii="Times New Roman" w:hAnsi="Times New Roman"/>
          <w:b/>
          <w:sz w:val="24"/>
          <w:szCs w:val="24"/>
          <w:lang w:val="ro-RO"/>
        </w:rPr>
        <w:tab/>
      </w:r>
      <w:r w:rsidRPr="00104DB2">
        <w:rPr>
          <w:rFonts w:ascii="Times New Roman" w:hAnsi="Times New Roman"/>
          <w:b/>
          <w:sz w:val="24"/>
          <w:szCs w:val="24"/>
          <w:lang w:val="ro-RO"/>
        </w:rPr>
        <w:t xml:space="preserve"> </w:t>
      </w:r>
    </w:p>
    <w:p w14:paraId="319D72DE" w14:textId="20E1EB17" w:rsidR="00677B3F" w:rsidRDefault="00104DB2" w:rsidP="00104DB2">
      <w:pPr>
        <w:spacing w:after="0" w:line="240" w:lineRule="auto"/>
        <w:ind w:right="-232" w:firstLine="708"/>
        <w:rPr>
          <w:rFonts w:ascii="Times New Roman" w:hAnsi="Times New Roman"/>
          <w:b/>
          <w:sz w:val="24"/>
          <w:szCs w:val="24"/>
        </w:rPr>
      </w:pPr>
      <w:r>
        <w:rPr>
          <w:rFonts w:ascii="Times New Roman" w:hAnsi="Times New Roman"/>
          <w:b/>
          <w:sz w:val="24"/>
          <w:szCs w:val="24"/>
        </w:rPr>
        <w:t xml:space="preserve">  TIBERIU HORAȚIU GORUN</w:t>
      </w:r>
      <w:r>
        <w:rPr>
          <w:rFonts w:ascii="Times New Roman" w:hAnsi="Times New Roman"/>
          <w:b/>
          <w:sz w:val="24"/>
          <w:szCs w:val="24"/>
        </w:rPr>
        <w:tab/>
        <w:t xml:space="preserve">                             </w:t>
      </w:r>
      <w:r w:rsidR="00690360">
        <w:rPr>
          <w:rFonts w:ascii="Times New Roman" w:hAnsi="Times New Roman"/>
          <w:b/>
          <w:sz w:val="24"/>
          <w:szCs w:val="24"/>
        </w:rPr>
        <w:t xml:space="preserve">VIRGIL-DANIEL </w:t>
      </w:r>
      <w:r w:rsidR="00677B3F">
        <w:rPr>
          <w:rFonts w:ascii="Times New Roman" w:hAnsi="Times New Roman"/>
          <w:b/>
          <w:sz w:val="24"/>
          <w:szCs w:val="24"/>
        </w:rPr>
        <w:t xml:space="preserve">POPESCU </w:t>
      </w:r>
      <w:r w:rsidR="00677B3F">
        <w:rPr>
          <w:rFonts w:ascii="Times New Roman" w:hAnsi="Times New Roman"/>
          <w:b/>
          <w:sz w:val="24"/>
          <w:szCs w:val="24"/>
        </w:rPr>
        <w:tab/>
      </w:r>
      <w:r w:rsidR="00677B3F">
        <w:rPr>
          <w:rFonts w:ascii="Times New Roman" w:hAnsi="Times New Roman"/>
          <w:b/>
          <w:sz w:val="24"/>
          <w:szCs w:val="24"/>
        </w:rPr>
        <w:tab/>
      </w:r>
      <w:r w:rsidR="00677B3F">
        <w:rPr>
          <w:rFonts w:ascii="Times New Roman" w:hAnsi="Times New Roman"/>
          <w:b/>
          <w:sz w:val="24"/>
          <w:szCs w:val="24"/>
        </w:rPr>
        <w:tab/>
      </w:r>
      <w:r w:rsidR="00677B3F">
        <w:rPr>
          <w:rFonts w:ascii="Times New Roman" w:hAnsi="Times New Roman"/>
          <w:b/>
          <w:sz w:val="24"/>
          <w:szCs w:val="24"/>
        </w:rPr>
        <w:tab/>
      </w:r>
      <w:r w:rsidR="00690360">
        <w:rPr>
          <w:rFonts w:ascii="Times New Roman" w:hAnsi="Times New Roman"/>
          <w:b/>
          <w:sz w:val="24"/>
          <w:szCs w:val="24"/>
        </w:rPr>
        <w:t xml:space="preserve">                      </w:t>
      </w:r>
    </w:p>
    <w:p w14:paraId="1604A401" w14:textId="5DD6A91E" w:rsidR="00104DB2" w:rsidRDefault="00104DB2" w:rsidP="00104DB2">
      <w:pPr>
        <w:spacing w:after="0" w:line="240" w:lineRule="auto"/>
        <w:ind w:right="-232" w:firstLine="708"/>
        <w:rPr>
          <w:rFonts w:ascii="Times New Roman" w:hAnsi="Times New Roman"/>
          <w:b/>
          <w:sz w:val="24"/>
          <w:szCs w:val="24"/>
        </w:rPr>
      </w:pPr>
    </w:p>
    <w:p w14:paraId="0F22D438" w14:textId="624B951F" w:rsidR="00104DB2" w:rsidRDefault="00104DB2" w:rsidP="00104DB2">
      <w:pPr>
        <w:spacing w:after="0" w:line="240" w:lineRule="auto"/>
        <w:ind w:right="-232" w:firstLine="708"/>
        <w:rPr>
          <w:rFonts w:ascii="Times New Roman" w:hAnsi="Times New Roman"/>
          <w:b/>
          <w:sz w:val="24"/>
          <w:szCs w:val="24"/>
        </w:rPr>
      </w:pPr>
    </w:p>
    <w:p w14:paraId="08A4A3B3" w14:textId="77777777" w:rsidR="00104DB2" w:rsidRDefault="00104DB2" w:rsidP="00104DB2">
      <w:pPr>
        <w:spacing w:after="0" w:line="240" w:lineRule="auto"/>
        <w:ind w:right="-232" w:firstLine="708"/>
        <w:rPr>
          <w:rFonts w:ascii="Times New Roman" w:hAnsi="Times New Roman"/>
          <w:b/>
          <w:sz w:val="24"/>
          <w:szCs w:val="24"/>
        </w:rPr>
      </w:pPr>
    </w:p>
    <w:p w14:paraId="2DF46D19" w14:textId="77777777" w:rsidR="00104DB2" w:rsidRDefault="00104DB2" w:rsidP="00104DB2">
      <w:pPr>
        <w:spacing w:after="0" w:line="240" w:lineRule="auto"/>
        <w:ind w:right="-232" w:firstLine="708"/>
        <w:rPr>
          <w:rFonts w:ascii="Times New Roman" w:hAnsi="Times New Roman"/>
          <w:b/>
          <w:sz w:val="24"/>
          <w:szCs w:val="24"/>
        </w:rPr>
      </w:pPr>
    </w:p>
    <w:p w14:paraId="10CD4D5A" w14:textId="77777777" w:rsidR="00104DB2" w:rsidRPr="00104DB2" w:rsidRDefault="00104DB2" w:rsidP="00104DB2">
      <w:pPr>
        <w:spacing w:after="0" w:line="240" w:lineRule="auto"/>
        <w:ind w:right="-230" w:firstLine="706"/>
        <w:rPr>
          <w:rFonts w:ascii="Times New Roman" w:hAnsi="Times New Roman"/>
          <w:b/>
          <w:sz w:val="20"/>
          <w:szCs w:val="20"/>
        </w:rPr>
      </w:pPr>
    </w:p>
    <w:p w14:paraId="29001F9E" w14:textId="2F28D0E9" w:rsidR="00677B3F" w:rsidRDefault="00677B3F" w:rsidP="00104DB2">
      <w:pPr>
        <w:spacing w:after="0" w:line="240" w:lineRule="auto"/>
        <w:rPr>
          <w:rFonts w:ascii="Times New Roman" w:hAnsi="Times New Roman"/>
          <w:b/>
          <w:sz w:val="24"/>
          <w:szCs w:val="24"/>
        </w:rPr>
      </w:pPr>
      <w:r w:rsidRPr="00DA3440">
        <w:rPr>
          <w:rFonts w:ascii="Times New Roman" w:hAnsi="Times New Roman"/>
          <w:b/>
          <w:sz w:val="24"/>
          <w:szCs w:val="24"/>
        </w:rPr>
        <w:tab/>
      </w:r>
      <w:r w:rsidR="00104DB2">
        <w:rPr>
          <w:rFonts w:ascii="Times New Roman" w:hAnsi="Times New Roman"/>
          <w:b/>
          <w:sz w:val="24"/>
          <w:szCs w:val="24"/>
        </w:rPr>
        <w:t xml:space="preserve"> </w:t>
      </w:r>
      <w:r w:rsidR="00D55DBB" w:rsidRPr="00DA3440">
        <w:rPr>
          <w:rFonts w:ascii="Times New Roman" w:hAnsi="Times New Roman"/>
          <w:b/>
          <w:sz w:val="24"/>
          <w:szCs w:val="24"/>
        </w:rPr>
        <w:t>MINISTRU</w:t>
      </w:r>
      <w:r w:rsidR="00D55DBB">
        <w:rPr>
          <w:rFonts w:ascii="Times New Roman" w:hAnsi="Times New Roman"/>
          <w:b/>
          <w:sz w:val="24"/>
          <w:szCs w:val="24"/>
        </w:rPr>
        <w:t>L FINANȚELOR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MINISTRUL JUSTIȚ</w:t>
      </w:r>
      <w:r w:rsidRPr="00DA3440">
        <w:rPr>
          <w:rFonts w:ascii="Times New Roman" w:hAnsi="Times New Roman"/>
          <w:b/>
          <w:sz w:val="24"/>
          <w:szCs w:val="24"/>
        </w:rPr>
        <w:t>IEI</w:t>
      </w:r>
      <w:r w:rsidR="00690360">
        <w:rPr>
          <w:rFonts w:ascii="Times New Roman" w:hAnsi="Times New Roman"/>
          <w:b/>
          <w:sz w:val="24"/>
          <w:szCs w:val="24"/>
        </w:rPr>
        <w:t>, INTERIMAR</w:t>
      </w:r>
    </w:p>
    <w:p w14:paraId="037C97C2" w14:textId="77777777" w:rsidR="00104DB2" w:rsidRDefault="00104DB2" w:rsidP="00104DB2">
      <w:pPr>
        <w:spacing w:after="0" w:line="240" w:lineRule="auto"/>
        <w:rPr>
          <w:rFonts w:ascii="Times New Roman" w:hAnsi="Times New Roman"/>
          <w:b/>
          <w:sz w:val="24"/>
          <w:szCs w:val="24"/>
        </w:rPr>
      </w:pPr>
    </w:p>
    <w:p w14:paraId="6BC92BA0" w14:textId="77777777" w:rsidR="00104DB2" w:rsidRDefault="00104DB2" w:rsidP="00104DB2">
      <w:pPr>
        <w:spacing w:after="0" w:line="240" w:lineRule="auto"/>
        <w:rPr>
          <w:rFonts w:ascii="Times New Roman" w:hAnsi="Times New Roman"/>
          <w:b/>
          <w:sz w:val="24"/>
          <w:szCs w:val="24"/>
        </w:rPr>
      </w:pPr>
    </w:p>
    <w:p w14:paraId="7F3EBB84" w14:textId="77777777" w:rsidR="00104DB2" w:rsidRPr="00DA3440" w:rsidRDefault="00104DB2" w:rsidP="00104DB2">
      <w:pPr>
        <w:spacing w:after="0" w:line="240" w:lineRule="auto"/>
        <w:rPr>
          <w:rFonts w:ascii="Times New Roman" w:hAnsi="Times New Roman"/>
          <w:b/>
          <w:sz w:val="24"/>
          <w:szCs w:val="24"/>
        </w:rPr>
      </w:pPr>
    </w:p>
    <w:p w14:paraId="2FFE65B7" w14:textId="6A35B5D7" w:rsidR="0001749C" w:rsidRPr="00D36329" w:rsidRDefault="00677B3F" w:rsidP="00104DB2">
      <w:pPr>
        <w:spacing w:after="0" w:line="240" w:lineRule="auto"/>
        <w:ind w:left="-567"/>
        <w:rPr>
          <w:rFonts w:ascii="Times New Roman" w:hAnsi="Times New Roman"/>
          <w:b/>
          <w:sz w:val="24"/>
          <w:szCs w:val="24"/>
          <w:lang w:val="ro-RO"/>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55DBB">
        <w:rPr>
          <w:rFonts w:ascii="Times New Roman" w:hAnsi="Times New Roman"/>
          <w:b/>
          <w:sz w:val="24"/>
          <w:szCs w:val="24"/>
        </w:rPr>
        <w:t>DAN VÎLCEANU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00A725DD">
        <w:rPr>
          <w:rFonts w:ascii="Times New Roman" w:hAnsi="Times New Roman"/>
          <w:b/>
          <w:sz w:val="24"/>
          <w:szCs w:val="24"/>
        </w:rPr>
        <w:t xml:space="preserve">     </w:t>
      </w:r>
      <w:r w:rsidR="00104DB2">
        <w:rPr>
          <w:rFonts w:ascii="Times New Roman" w:hAnsi="Times New Roman"/>
          <w:b/>
          <w:sz w:val="24"/>
          <w:szCs w:val="24"/>
        </w:rPr>
        <w:t xml:space="preserve">  </w:t>
      </w:r>
      <w:r w:rsidR="00690360">
        <w:rPr>
          <w:rFonts w:ascii="Times New Roman" w:hAnsi="Times New Roman"/>
          <w:b/>
          <w:sz w:val="24"/>
          <w:szCs w:val="24"/>
        </w:rPr>
        <w:t xml:space="preserve">LUCIAN NICOLAE </w:t>
      </w:r>
      <w:r>
        <w:rPr>
          <w:rFonts w:ascii="Times New Roman" w:hAnsi="Times New Roman"/>
          <w:b/>
          <w:sz w:val="24"/>
          <w:szCs w:val="24"/>
        </w:rPr>
        <w:t>BO</w:t>
      </w:r>
      <w:r w:rsidR="00690360">
        <w:rPr>
          <w:rFonts w:ascii="Times New Roman" w:hAnsi="Times New Roman"/>
          <w:b/>
          <w:sz w:val="24"/>
          <w:szCs w:val="24"/>
        </w:rPr>
        <w:t>D</w:t>
      </w:r>
      <w:r>
        <w:rPr>
          <w:rFonts w:ascii="Times New Roman" w:hAnsi="Times New Roman"/>
          <w:b/>
          <w:sz w:val="24"/>
          <w:szCs w:val="24"/>
        </w:rPr>
        <w:t>E</w:t>
      </w:r>
      <w:r w:rsidR="00D36329">
        <w:rPr>
          <w:rFonts w:ascii="Times New Roman" w:hAnsi="Times New Roman"/>
          <w:b/>
          <w:sz w:val="24"/>
          <w:szCs w:val="24"/>
          <w:lang w:val="ro-RO"/>
        </w:rPr>
        <w:t xml:space="preserve"> </w:t>
      </w:r>
    </w:p>
    <w:sectPr w:rsidR="0001749C" w:rsidRPr="00D36329" w:rsidSect="00734B34">
      <w:headerReference w:type="even" r:id="rId11"/>
      <w:headerReference w:type="default" r:id="rId12"/>
      <w:footerReference w:type="even" r:id="rId13"/>
      <w:footerReference w:type="default" r:id="rId14"/>
      <w:headerReference w:type="first" r:id="rId15"/>
      <w:footerReference w:type="first" r:id="rId16"/>
      <w:pgSz w:w="12240" w:h="15840"/>
      <w:pgMar w:top="993" w:right="758" w:bottom="28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AAFD" w14:textId="77777777" w:rsidR="0079678A" w:rsidRDefault="0079678A">
      <w:pPr>
        <w:spacing w:after="0" w:line="240" w:lineRule="auto"/>
      </w:pPr>
      <w:r>
        <w:separator/>
      </w:r>
    </w:p>
  </w:endnote>
  <w:endnote w:type="continuationSeparator" w:id="0">
    <w:p w14:paraId="15E7E561" w14:textId="77777777" w:rsidR="0079678A" w:rsidRDefault="0079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A34" w14:textId="77777777" w:rsidR="009D5356" w:rsidRDefault="00796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C18A" w14:textId="77777777" w:rsidR="009D5356" w:rsidRDefault="00796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B057" w14:textId="77777777" w:rsidR="009D5356" w:rsidRDefault="00796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178A" w14:textId="77777777" w:rsidR="0079678A" w:rsidRDefault="0079678A">
      <w:pPr>
        <w:spacing w:after="0" w:line="240" w:lineRule="auto"/>
      </w:pPr>
      <w:r>
        <w:separator/>
      </w:r>
    </w:p>
  </w:footnote>
  <w:footnote w:type="continuationSeparator" w:id="0">
    <w:p w14:paraId="5A315E75" w14:textId="77777777" w:rsidR="0079678A" w:rsidRDefault="0079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6146" w14:textId="77777777" w:rsidR="009D5356" w:rsidRDefault="0079678A">
    <w:pPr>
      <w:pStyle w:val="Header"/>
    </w:pPr>
    <w:r>
      <w:rPr>
        <w:noProof/>
      </w:rPr>
      <w:pict w14:anchorId="0EE61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39" o:spid="_x0000_s1026" type="#_x0000_t136" style="position:absolute;left:0;text-align:left;margin-left:0;margin-top:0;width:439.9pt;height:219.95pt;rotation:315;z-index:-251656192;mso-position-horizontal:center;mso-position-horizontal-relative:margin;mso-position-vertical:center;mso-position-vertical-relative:margin" o:allowincell="f" fillcolor="#2e74b5"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787" w14:textId="77777777" w:rsidR="009D5356" w:rsidRDefault="0079678A">
    <w:pPr>
      <w:pStyle w:val="Header"/>
    </w:pPr>
    <w:r>
      <w:rPr>
        <w:noProof/>
      </w:rPr>
      <w:pict w14:anchorId="2B4EB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40" o:spid="_x0000_s1027" type="#_x0000_t136" style="position:absolute;left:0;text-align:left;margin-left:0;margin-top:0;width:439.9pt;height:219.95pt;rotation:315;z-index:-251655168;mso-position-horizontal:center;mso-position-horizontal-relative:margin;mso-position-vertical:center;mso-position-vertical-relative:margin" o:allowincell="f" fillcolor="#2e74b5"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6975" w14:textId="77777777" w:rsidR="009D5356" w:rsidRDefault="0079678A">
    <w:pPr>
      <w:pStyle w:val="Header"/>
    </w:pPr>
    <w:r>
      <w:rPr>
        <w:noProof/>
      </w:rPr>
      <w:pict w14:anchorId="05245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38" o:spid="_x0000_s1025" type="#_x0000_t136" style="position:absolute;left:0;text-align:left;margin-left:0;margin-top:0;width:439.9pt;height:219.95pt;rotation:315;z-index:-251657216;mso-position-horizontal:center;mso-position-horizontal-relative:margin;mso-position-vertical:center;mso-position-vertical-relative:margin" o:allowincell="f" fillcolor="#2e74b5"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D3"/>
    <w:multiLevelType w:val="hybridMultilevel"/>
    <w:tmpl w:val="3D869A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52740"/>
    <w:multiLevelType w:val="hybridMultilevel"/>
    <w:tmpl w:val="D7D2357C"/>
    <w:lvl w:ilvl="0" w:tplc="AEB86DF6">
      <w:numFmt w:val="bullet"/>
      <w:lvlText w:val="-"/>
      <w:lvlJc w:val="left"/>
      <w:pPr>
        <w:ind w:left="480" w:hanging="360"/>
      </w:pPr>
      <w:rPr>
        <w:rFonts w:ascii="Times New Roman" w:eastAsia="Calibr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8"/>
  </w:num>
  <w:num w:numId="3">
    <w:abstractNumId w:val="5"/>
  </w:num>
  <w:num w:numId="4">
    <w:abstractNumId w:val="3"/>
  </w:num>
  <w:num w:numId="5">
    <w:abstractNumId w:val="7"/>
  </w:num>
  <w:num w:numId="6">
    <w:abstractNumId w:val="1"/>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C"/>
    <w:rsid w:val="0000631A"/>
    <w:rsid w:val="0001749C"/>
    <w:rsid w:val="000741C1"/>
    <w:rsid w:val="00104DB2"/>
    <w:rsid w:val="00123793"/>
    <w:rsid w:val="0012650B"/>
    <w:rsid w:val="001A7CF6"/>
    <w:rsid w:val="002415B7"/>
    <w:rsid w:val="00371150"/>
    <w:rsid w:val="00407E40"/>
    <w:rsid w:val="0043640E"/>
    <w:rsid w:val="00502F72"/>
    <w:rsid w:val="005A1088"/>
    <w:rsid w:val="00677B3F"/>
    <w:rsid w:val="00690360"/>
    <w:rsid w:val="006F083E"/>
    <w:rsid w:val="00716A12"/>
    <w:rsid w:val="00733E6C"/>
    <w:rsid w:val="00756FDD"/>
    <w:rsid w:val="0079678A"/>
    <w:rsid w:val="007F3E69"/>
    <w:rsid w:val="00805374"/>
    <w:rsid w:val="00845D2E"/>
    <w:rsid w:val="009027A3"/>
    <w:rsid w:val="009E45BD"/>
    <w:rsid w:val="00A725DD"/>
    <w:rsid w:val="00B54701"/>
    <w:rsid w:val="00D06941"/>
    <w:rsid w:val="00D36329"/>
    <w:rsid w:val="00D55DBB"/>
    <w:rsid w:val="00D64AA8"/>
    <w:rsid w:val="00EF725F"/>
    <w:rsid w:val="00F3783D"/>
    <w:rsid w:val="00FB57FC"/>
    <w:rsid w:val="00FD0169"/>
    <w:rsid w:val="00FD4BC0"/>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A0E0"/>
  <w15:chartTrackingRefBased/>
  <w15:docId w15:val="{C3F45658-3677-4613-84D0-E01A83DB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9C"/>
    <w:pPr>
      <w:spacing w:after="200" w:line="276"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9C"/>
    <w:pPr>
      <w:tabs>
        <w:tab w:val="center" w:pos="4536"/>
        <w:tab w:val="right" w:pos="9072"/>
      </w:tabs>
    </w:pPr>
  </w:style>
  <w:style w:type="character" w:customStyle="1" w:styleId="HeaderChar">
    <w:name w:val="Header Char"/>
    <w:basedOn w:val="DefaultParagraphFont"/>
    <w:link w:val="Header"/>
    <w:uiPriority w:val="99"/>
    <w:rsid w:val="0001749C"/>
    <w:rPr>
      <w:rFonts w:ascii="Calibri" w:eastAsia="Calibri" w:hAnsi="Calibri" w:cs="Times New Roman"/>
      <w:lang w:val="en-US"/>
    </w:rPr>
  </w:style>
  <w:style w:type="paragraph" w:styleId="Footer">
    <w:name w:val="footer"/>
    <w:basedOn w:val="Normal"/>
    <w:link w:val="FooterChar"/>
    <w:uiPriority w:val="99"/>
    <w:unhideWhenUsed/>
    <w:rsid w:val="0001749C"/>
    <w:pPr>
      <w:tabs>
        <w:tab w:val="center" w:pos="4536"/>
        <w:tab w:val="right" w:pos="9072"/>
      </w:tabs>
    </w:pPr>
  </w:style>
  <w:style w:type="character" w:customStyle="1" w:styleId="FooterChar">
    <w:name w:val="Footer Char"/>
    <w:basedOn w:val="DefaultParagraphFont"/>
    <w:link w:val="Footer"/>
    <w:uiPriority w:val="99"/>
    <w:rsid w:val="0001749C"/>
    <w:rPr>
      <w:rFonts w:ascii="Calibri" w:eastAsia="Calibri" w:hAnsi="Calibri" w:cs="Times New Roman"/>
      <w:lang w:val="en-US"/>
    </w:rPr>
  </w:style>
  <w:style w:type="character" w:customStyle="1" w:styleId="tpa1">
    <w:name w:val="tpa1"/>
    <w:basedOn w:val="DefaultParagraphFont"/>
    <w:rsid w:val="00677B3F"/>
  </w:style>
  <w:style w:type="character" w:customStyle="1" w:styleId="do1">
    <w:name w:val="do1"/>
    <w:rsid w:val="00677B3F"/>
    <w:rPr>
      <w:b/>
      <w:bCs/>
      <w:sz w:val="26"/>
      <w:szCs w:val="26"/>
    </w:rPr>
  </w:style>
  <w:style w:type="paragraph" w:styleId="BodyText">
    <w:name w:val="Body Text"/>
    <w:basedOn w:val="Normal"/>
    <w:link w:val="BodyTextChar"/>
    <w:uiPriority w:val="99"/>
    <w:unhideWhenUsed/>
    <w:rsid w:val="00677B3F"/>
    <w:pPr>
      <w:spacing w:after="120" w:line="240" w:lineRule="auto"/>
      <w:jc w:val="left"/>
    </w:pPr>
    <w:rPr>
      <w:color w:val="000000"/>
      <w:szCs w:val="20"/>
      <w:lang w:bidi="en-US"/>
    </w:rPr>
  </w:style>
  <w:style w:type="character" w:customStyle="1" w:styleId="BodyTextChar">
    <w:name w:val="Body Text Char"/>
    <w:basedOn w:val="DefaultParagraphFont"/>
    <w:link w:val="BodyText"/>
    <w:uiPriority w:val="99"/>
    <w:rsid w:val="00677B3F"/>
    <w:rPr>
      <w:rFonts w:ascii="Calibri" w:eastAsia="Calibri" w:hAnsi="Calibri" w:cs="Times New Roman"/>
      <w:color w:val="000000"/>
      <w:szCs w:val="20"/>
      <w:lang w:val="en-US" w:bidi="en-US"/>
    </w:rPr>
  </w:style>
  <w:style w:type="paragraph" w:styleId="ListParagraph">
    <w:name w:val="List Paragraph"/>
    <w:basedOn w:val="Normal"/>
    <w:uiPriority w:val="34"/>
    <w:qFormat/>
    <w:rsid w:val="00677B3F"/>
    <w:pPr>
      <w:spacing w:after="0" w:line="240" w:lineRule="auto"/>
      <w:ind w:left="720"/>
      <w:contextualSpacing/>
      <w:jc w:val="left"/>
    </w:pPr>
    <w:rPr>
      <w:color w:val="00000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05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ro/ro/guvernul/cabinetul-de-ministri/ministrul-mediului-apelor-i-padurilor1609930706" TargetMode="External"/><Relationship Id="rId4" Type="http://schemas.openxmlformats.org/officeDocument/2006/relationships/settings" Target="settings.xml"/><Relationship Id="rId9" Type="http://schemas.openxmlformats.org/officeDocument/2006/relationships/hyperlink" Target="http://legislatie.just.ro/Public/DetaliiDocumentAfis/1705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DF92-3391-4848-BD4D-BD03BB86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3873</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gc</dc:creator>
  <cp:keywords/>
  <dc:description/>
  <cp:lastModifiedBy>mircea gc</cp:lastModifiedBy>
  <cp:revision>11</cp:revision>
  <cp:lastPrinted>2021-11-05T08:59:00Z</cp:lastPrinted>
  <dcterms:created xsi:type="dcterms:W3CDTF">2021-11-16T08:45:00Z</dcterms:created>
  <dcterms:modified xsi:type="dcterms:W3CDTF">2021-11-18T09:10:00Z</dcterms:modified>
</cp:coreProperties>
</file>