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4F81" w14:textId="77777777" w:rsidR="00FF2F85" w:rsidRPr="007A7D7B" w:rsidRDefault="00FF2F85">
      <w:pPr>
        <w:rPr>
          <w:color w:val="000000"/>
          <w:szCs w:val="24"/>
          <w:lang w:val="ro-RO"/>
        </w:rPr>
      </w:pPr>
    </w:p>
    <w:p w14:paraId="710DEA8B" w14:textId="77777777" w:rsidR="00906654" w:rsidRPr="007A7D7B" w:rsidRDefault="00906654" w:rsidP="00906654">
      <w:pPr>
        <w:spacing w:after="160" w:line="259" w:lineRule="auto"/>
        <w:jc w:val="center"/>
        <w:rPr>
          <w:b/>
          <w:color w:val="000000"/>
          <w:szCs w:val="24"/>
          <w:lang w:val="ro-RO"/>
        </w:rPr>
      </w:pPr>
      <w:r w:rsidRPr="007A7D7B">
        <w:rPr>
          <w:b/>
          <w:color w:val="000000"/>
          <w:szCs w:val="24"/>
          <w:lang w:val="ro-RO"/>
        </w:rPr>
        <w:t>NOTĂ DE FUNDAMENTARE</w:t>
      </w:r>
    </w:p>
    <w:p w14:paraId="60503C0A" w14:textId="77777777" w:rsidR="00906654" w:rsidRPr="007A7D7B" w:rsidRDefault="00906654" w:rsidP="00646C18">
      <w:pPr>
        <w:spacing w:after="160" w:line="259" w:lineRule="auto"/>
        <w:rPr>
          <w:color w:val="000000"/>
          <w:szCs w:val="24"/>
          <w:lang w:val="ro-RO"/>
        </w:rPr>
      </w:pPr>
    </w:p>
    <w:tbl>
      <w:tblPr>
        <w:tblW w:w="10260" w:type="dxa"/>
        <w:tblCellSpacing w:w="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661"/>
        <w:gridCol w:w="180"/>
        <w:gridCol w:w="5940"/>
      </w:tblGrid>
      <w:tr w:rsidR="007A7D7B" w:rsidRPr="007A7D7B" w14:paraId="5505D9DF" w14:textId="77777777" w:rsidTr="007A7D7B">
        <w:trPr>
          <w:trHeight w:val="207"/>
          <w:tblCellSpacing w:w="0" w:type="dxa"/>
        </w:trPr>
        <w:tc>
          <w:tcPr>
            <w:tcW w:w="10260" w:type="dxa"/>
            <w:gridSpan w:val="4"/>
            <w:tcMar>
              <w:top w:w="15" w:type="dxa"/>
              <w:left w:w="15" w:type="dxa"/>
              <w:bottom w:w="15" w:type="dxa"/>
              <w:right w:w="15" w:type="dxa"/>
            </w:tcMar>
          </w:tcPr>
          <w:p w14:paraId="3827E727" w14:textId="77777777" w:rsidR="007A7D7B" w:rsidRPr="007A7D7B" w:rsidRDefault="007A7D7B" w:rsidP="00E9664D">
            <w:pPr>
              <w:widowControl w:val="0"/>
              <w:jc w:val="center"/>
              <w:rPr>
                <w:b/>
                <w:lang w:val="ro-RO"/>
              </w:rPr>
            </w:pPr>
          </w:p>
          <w:p w14:paraId="6DDB846E" w14:textId="77777777" w:rsidR="007A7D7B" w:rsidRPr="007A7D7B" w:rsidRDefault="007A7D7B" w:rsidP="00E9664D">
            <w:pPr>
              <w:widowControl w:val="0"/>
              <w:jc w:val="center"/>
              <w:rPr>
                <w:b/>
                <w:lang w:val="ro-RO"/>
              </w:rPr>
            </w:pPr>
            <w:r w:rsidRPr="007A7D7B">
              <w:rPr>
                <w:b/>
                <w:lang w:val="ro-RO"/>
              </w:rPr>
              <w:t>Secțiunea 1</w:t>
            </w:r>
          </w:p>
          <w:p w14:paraId="197451D2" w14:textId="77777777" w:rsidR="007A7D7B" w:rsidRPr="007A7D7B" w:rsidRDefault="007A7D7B" w:rsidP="00E9664D">
            <w:pPr>
              <w:widowControl w:val="0"/>
              <w:jc w:val="center"/>
              <w:rPr>
                <w:b/>
                <w:lang w:val="ro-RO"/>
              </w:rPr>
            </w:pPr>
            <w:r w:rsidRPr="007A7D7B">
              <w:rPr>
                <w:b/>
                <w:lang w:val="ro-RO"/>
              </w:rPr>
              <w:t>Titlul proiectului de act normativ</w:t>
            </w:r>
          </w:p>
          <w:p w14:paraId="1E73A175" w14:textId="77777777" w:rsidR="007A7D7B" w:rsidRPr="007A7D7B" w:rsidRDefault="007A7D7B" w:rsidP="00E9664D">
            <w:pPr>
              <w:widowControl w:val="0"/>
              <w:jc w:val="center"/>
              <w:rPr>
                <w:b/>
                <w:lang w:val="ro-RO"/>
              </w:rPr>
            </w:pPr>
          </w:p>
        </w:tc>
      </w:tr>
      <w:tr w:rsidR="007A7D7B" w:rsidRPr="007A7D7B" w14:paraId="4EAA8C90" w14:textId="77777777" w:rsidTr="007A7D7B">
        <w:trPr>
          <w:trHeight w:val="609"/>
          <w:tblCellSpacing w:w="0" w:type="dxa"/>
        </w:trPr>
        <w:tc>
          <w:tcPr>
            <w:tcW w:w="10260" w:type="dxa"/>
            <w:gridSpan w:val="4"/>
            <w:tcMar>
              <w:top w:w="15" w:type="dxa"/>
              <w:left w:w="15" w:type="dxa"/>
              <w:bottom w:w="15" w:type="dxa"/>
              <w:right w:w="15" w:type="dxa"/>
            </w:tcMar>
          </w:tcPr>
          <w:p w14:paraId="5C842E14" w14:textId="77777777" w:rsidR="007A7D7B" w:rsidRPr="007A7D7B" w:rsidRDefault="007A7D7B" w:rsidP="00E9664D">
            <w:pPr>
              <w:spacing w:after="120"/>
              <w:ind w:left="-426" w:firstLine="426"/>
              <w:jc w:val="center"/>
              <w:rPr>
                <w:bCs/>
                <w:lang w:val="ro-RO"/>
              </w:rPr>
            </w:pPr>
          </w:p>
          <w:p w14:paraId="55E8AEF3" w14:textId="77777777" w:rsidR="007A7D7B" w:rsidRPr="007A7D7B" w:rsidRDefault="007A7D7B" w:rsidP="00E9664D">
            <w:pPr>
              <w:pStyle w:val="ListParagraph"/>
              <w:ind w:right="524"/>
              <w:jc w:val="center"/>
              <w:rPr>
                <w:rFonts w:ascii="Times New Roman" w:hAnsi="Times New Roman"/>
                <w:b/>
                <w:iCs/>
                <w:sz w:val="24"/>
                <w:szCs w:val="24"/>
              </w:rPr>
            </w:pPr>
            <w:r w:rsidRPr="007A7D7B">
              <w:rPr>
                <w:rFonts w:ascii="Times New Roman" w:hAnsi="Times New Roman"/>
                <w:b/>
                <w:iCs/>
                <w:sz w:val="24"/>
                <w:szCs w:val="24"/>
              </w:rPr>
              <w:t xml:space="preserve">HOTĂRÂRE </w:t>
            </w:r>
          </w:p>
          <w:p w14:paraId="5A8C7984" w14:textId="77777777" w:rsidR="007A7D7B" w:rsidRPr="007A7D7B" w:rsidRDefault="007A7D7B" w:rsidP="00E9664D">
            <w:pPr>
              <w:pStyle w:val="ListParagraph"/>
              <w:ind w:right="524"/>
              <w:jc w:val="center"/>
              <w:rPr>
                <w:rFonts w:ascii="Times New Roman" w:hAnsi="Times New Roman"/>
                <w:b/>
                <w:iCs/>
                <w:sz w:val="24"/>
                <w:szCs w:val="24"/>
              </w:rPr>
            </w:pPr>
          </w:p>
          <w:p w14:paraId="6AF0CEF3" w14:textId="77777777" w:rsidR="007A7D7B" w:rsidRPr="007A7D7B" w:rsidRDefault="007A7D7B" w:rsidP="00E9664D">
            <w:pPr>
              <w:pStyle w:val="ListParagraph"/>
              <w:ind w:right="524"/>
              <w:jc w:val="center"/>
              <w:rPr>
                <w:rFonts w:ascii="Times New Roman" w:hAnsi="Times New Roman"/>
                <w:b/>
                <w:sz w:val="24"/>
                <w:szCs w:val="24"/>
              </w:rPr>
            </w:pPr>
            <w:r w:rsidRPr="007A7D7B">
              <w:rPr>
                <w:rFonts w:ascii="Times New Roman" w:hAnsi="Times New Roman"/>
                <w:b/>
                <w:sz w:val="24"/>
                <w:szCs w:val="24"/>
              </w:rPr>
              <w:t>privind actualizarea Strategiei naționale de management al riscului la inundații pe termen mediu și lung, aprobată prin Hotărârea Guvernului nr. 846/2010</w:t>
            </w:r>
          </w:p>
          <w:p w14:paraId="6477454D" w14:textId="673FA581" w:rsidR="007A7D7B" w:rsidRPr="007A7D7B" w:rsidRDefault="007A7D7B" w:rsidP="00E9664D">
            <w:pPr>
              <w:pStyle w:val="ListParagraph"/>
              <w:ind w:right="524"/>
              <w:jc w:val="center"/>
              <w:rPr>
                <w:rFonts w:ascii="Times New Roman" w:hAnsi="Times New Roman"/>
                <w:b/>
                <w:iCs/>
                <w:sz w:val="24"/>
                <w:szCs w:val="24"/>
              </w:rPr>
            </w:pPr>
          </w:p>
        </w:tc>
      </w:tr>
      <w:tr w:rsidR="007A7D7B" w:rsidRPr="007A7D7B" w14:paraId="178086B1" w14:textId="77777777" w:rsidTr="007A7D7B">
        <w:trPr>
          <w:tblCellSpacing w:w="0" w:type="dxa"/>
        </w:trPr>
        <w:tc>
          <w:tcPr>
            <w:tcW w:w="10260" w:type="dxa"/>
            <w:gridSpan w:val="4"/>
            <w:tcMar>
              <w:top w:w="15" w:type="dxa"/>
              <w:left w:w="15" w:type="dxa"/>
              <w:bottom w:w="15" w:type="dxa"/>
              <w:right w:w="15" w:type="dxa"/>
            </w:tcMar>
          </w:tcPr>
          <w:p w14:paraId="7FDF583C" w14:textId="77777777" w:rsidR="007A7D7B" w:rsidRPr="007A7D7B" w:rsidRDefault="007A7D7B" w:rsidP="00E9664D">
            <w:pPr>
              <w:jc w:val="center"/>
              <w:rPr>
                <w:b/>
                <w:lang w:val="ro-RO"/>
              </w:rPr>
            </w:pPr>
          </w:p>
          <w:p w14:paraId="3648F387" w14:textId="77777777" w:rsidR="007A7D7B" w:rsidRPr="007A7D7B" w:rsidRDefault="007A7D7B" w:rsidP="00E9664D">
            <w:pPr>
              <w:jc w:val="center"/>
              <w:rPr>
                <w:b/>
                <w:lang w:val="ro-RO"/>
              </w:rPr>
            </w:pPr>
            <w:r w:rsidRPr="007A7D7B">
              <w:rPr>
                <w:b/>
                <w:lang w:val="ro-RO"/>
              </w:rPr>
              <w:t>Secțiunea a 2-a</w:t>
            </w:r>
          </w:p>
          <w:p w14:paraId="27B35417" w14:textId="77777777" w:rsidR="007A7D7B" w:rsidRPr="007A7D7B" w:rsidRDefault="007A7D7B" w:rsidP="00E9664D">
            <w:pPr>
              <w:jc w:val="center"/>
              <w:rPr>
                <w:b/>
                <w:lang w:val="ro-RO"/>
              </w:rPr>
            </w:pPr>
            <w:r w:rsidRPr="007A7D7B">
              <w:rPr>
                <w:b/>
                <w:lang w:val="ro-RO"/>
              </w:rPr>
              <w:t xml:space="preserve"> Motivul emiterii actului normativ</w:t>
            </w:r>
          </w:p>
          <w:p w14:paraId="25ADCC3A" w14:textId="77777777" w:rsidR="007A7D7B" w:rsidRPr="007A7D7B" w:rsidRDefault="007A7D7B" w:rsidP="00E9664D">
            <w:pPr>
              <w:jc w:val="center"/>
              <w:rPr>
                <w:b/>
                <w:lang w:val="ro-RO"/>
              </w:rPr>
            </w:pPr>
          </w:p>
        </w:tc>
      </w:tr>
      <w:tr w:rsidR="007A7D7B" w:rsidRPr="007A7D7B" w14:paraId="41F2CEF6" w14:textId="77777777" w:rsidTr="007A7D7B">
        <w:trPr>
          <w:trHeight w:val="321"/>
          <w:tblCellSpacing w:w="0" w:type="dxa"/>
        </w:trPr>
        <w:tc>
          <w:tcPr>
            <w:tcW w:w="3479" w:type="dxa"/>
            <w:tcMar>
              <w:top w:w="15" w:type="dxa"/>
              <w:left w:w="15" w:type="dxa"/>
              <w:bottom w:w="15" w:type="dxa"/>
              <w:right w:w="15" w:type="dxa"/>
            </w:tcMar>
          </w:tcPr>
          <w:p w14:paraId="38BC01ED" w14:textId="77777777" w:rsidR="007A7D7B" w:rsidRPr="007A7D7B" w:rsidRDefault="007A7D7B" w:rsidP="00E9664D">
            <w:pPr>
              <w:spacing w:after="120"/>
              <w:rPr>
                <w:bCs/>
                <w:lang w:val="ro-RO"/>
              </w:rPr>
            </w:pPr>
            <w:r w:rsidRPr="007A7D7B">
              <w:rPr>
                <w:bCs/>
                <w:lang w:val="ro-RO"/>
              </w:rPr>
              <w:t>2.1. Sursa proiectului de act normativ</w:t>
            </w:r>
          </w:p>
        </w:tc>
        <w:tc>
          <w:tcPr>
            <w:tcW w:w="6781" w:type="dxa"/>
            <w:gridSpan w:val="3"/>
            <w:tcMar>
              <w:top w:w="15" w:type="dxa"/>
              <w:left w:w="15" w:type="dxa"/>
              <w:bottom w:w="15" w:type="dxa"/>
              <w:right w:w="15" w:type="dxa"/>
            </w:tcMar>
          </w:tcPr>
          <w:p w14:paraId="606E390A" w14:textId="662FA204" w:rsidR="007A7D7B" w:rsidRPr="007A7D7B" w:rsidRDefault="007A7D7B" w:rsidP="007A7D7B">
            <w:pPr>
              <w:autoSpaceDE w:val="0"/>
              <w:autoSpaceDN w:val="0"/>
              <w:adjustRightInd w:val="0"/>
              <w:spacing w:after="120"/>
              <w:ind w:left="90" w:right="150"/>
              <w:rPr>
                <w:bCs/>
                <w:lang w:val="ro-RO"/>
              </w:rPr>
            </w:pPr>
            <w:r w:rsidRPr="007A7D7B">
              <w:rPr>
                <w:bCs/>
                <w:lang w:val="ro-RO"/>
              </w:rPr>
              <w:t xml:space="preserve">Strategia națională de management al riscului la inundații pe termen mediu și lung, aprobată prin </w:t>
            </w:r>
            <w:r w:rsidRPr="007A7D7B">
              <w:rPr>
                <w:bCs/>
                <w:iCs/>
                <w:lang w:val="ro-RO"/>
              </w:rPr>
              <w:t>Hotărârea  Guvernului nr. 846/2010</w:t>
            </w:r>
            <w:r w:rsidRPr="007A7D7B">
              <w:rPr>
                <w:bCs/>
                <w:lang w:val="ro-RO"/>
              </w:rPr>
              <w:t>, este documentul strategic al autorităților și instituțiilor naționale și locale implicate în managementul situațiilor de urgență generate de inundații.</w:t>
            </w:r>
          </w:p>
          <w:p w14:paraId="7F8F0C4C" w14:textId="22AC3281" w:rsidR="007A7D7B" w:rsidRPr="007A7D7B" w:rsidRDefault="007A7D7B" w:rsidP="007A7D7B">
            <w:pPr>
              <w:autoSpaceDE w:val="0"/>
              <w:autoSpaceDN w:val="0"/>
              <w:adjustRightInd w:val="0"/>
              <w:spacing w:after="120"/>
              <w:ind w:left="90" w:right="150"/>
              <w:rPr>
                <w:bCs/>
                <w:lang w:val="ro-RO"/>
              </w:rPr>
            </w:pPr>
            <w:r w:rsidRPr="007A7D7B">
              <w:rPr>
                <w:bCs/>
                <w:lang w:val="ro-RO"/>
              </w:rPr>
              <w:t xml:space="preserve">La peste 10 de ani de la aprobarea Strategiei naționale de management al riscului la inundații pe termen mediu și lung, luându-se în considerare evoluția și tendințele în producerea inundațiilor și mai ales consecințele acestora, efectul schimbărilor climatice asupra apariției acestora, schimbările legislative și administrative în managementul situațiilor de urgență, inclusiv ale Legii </w:t>
            </w:r>
            <w:r>
              <w:rPr>
                <w:bCs/>
                <w:lang w:val="ro-RO"/>
              </w:rPr>
              <w:t>a</w:t>
            </w:r>
            <w:r w:rsidRPr="007A7D7B">
              <w:rPr>
                <w:bCs/>
                <w:lang w:val="ro-RO"/>
              </w:rPr>
              <w:t xml:space="preserve">pelor nr. 107/1996, cu modificările și completările ulterioare și ținând cont de problemele identificate pe parcursul implementării acesteia, Ministerul Mediului, Apelor și Pădurilor, împreună cu Administrația Națională </w:t>
            </w:r>
            <w:r>
              <w:rPr>
                <w:bCs/>
                <w:lang w:val="ro-RO"/>
              </w:rPr>
              <w:t>„</w:t>
            </w:r>
            <w:r w:rsidRPr="007A7D7B">
              <w:rPr>
                <w:bCs/>
                <w:lang w:val="ro-RO"/>
              </w:rPr>
              <w:t>Apele Române</w:t>
            </w:r>
            <w:r>
              <w:rPr>
                <w:bCs/>
                <w:lang w:val="ro-RO"/>
              </w:rPr>
              <w:t>”</w:t>
            </w:r>
            <w:r w:rsidRPr="007A7D7B">
              <w:rPr>
                <w:bCs/>
                <w:lang w:val="ro-RO"/>
              </w:rPr>
              <w:t>, consideră necesară actualizarea și aprobarea unui nou document strategic în managementul integrat al apelor, pe termen mediu și lung.</w:t>
            </w:r>
          </w:p>
          <w:p w14:paraId="2DD7AD61" w14:textId="607562F5" w:rsidR="007A7D7B" w:rsidRPr="007A7D7B" w:rsidRDefault="007A7D7B" w:rsidP="007A7D7B">
            <w:pPr>
              <w:autoSpaceDE w:val="0"/>
              <w:autoSpaceDN w:val="0"/>
              <w:adjustRightInd w:val="0"/>
              <w:spacing w:after="120"/>
              <w:ind w:left="90" w:right="150"/>
              <w:rPr>
                <w:bCs/>
                <w:lang w:val="ro-RO"/>
              </w:rPr>
            </w:pPr>
            <w:r w:rsidRPr="007A7D7B">
              <w:rPr>
                <w:bCs/>
                <w:lang w:val="ro-RO"/>
              </w:rPr>
              <w:t>Ministerul Mediului, Apelor și Pădurilor, în calitate de autoritate publică centrală în domeniul apelor este desemnată autoritate responsabilă cu rol principal în managementul riscului la inundații la nivel național, conform prevederilor Hotărârii Guvernului nr.557/2016 privind managementul tipurilor de risc</w:t>
            </w:r>
            <w:r>
              <w:rPr>
                <w:bCs/>
                <w:lang w:val="ro-RO"/>
              </w:rPr>
              <w:t>, cu modificările și completările ulterioare</w:t>
            </w:r>
            <w:r w:rsidRPr="007A7D7B">
              <w:rPr>
                <w:bCs/>
                <w:lang w:val="ro-RO"/>
              </w:rPr>
              <w:t>.</w:t>
            </w:r>
          </w:p>
          <w:p w14:paraId="46234020" w14:textId="126248F8" w:rsidR="007A7D7B" w:rsidRPr="007A7D7B" w:rsidRDefault="007A7D7B" w:rsidP="007A7D7B">
            <w:pPr>
              <w:autoSpaceDE w:val="0"/>
              <w:autoSpaceDN w:val="0"/>
              <w:adjustRightInd w:val="0"/>
              <w:spacing w:after="120"/>
              <w:ind w:left="90" w:right="150"/>
              <w:rPr>
                <w:bCs/>
                <w:lang w:val="ro-RO"/>
              </w:rPr>
            </w:pPr>
            <w:r w:rsidRPr="007A7D7B">
              <w:rPr>
                <w:bCs/>
                <w:lang w:val="ro-RO"/>
              </w:rPr>
              <w:t>Totodată, în conformitate cu prevederile art. 67 din Legea nr. 107/1996, cu modificările și completările ulterioare, elaborarea strategiei și concepției de apărare împotriva inundațiilor revine autorității publice centrale din domeniul apelor.</w:t>
            </w:r>
          </w:p>
          <w:p w14:paraId="515FD5F4" w14:textId="68377508" w:rsidR="007A7D7B" w:rsidRPr="007A7D7B" w:rsidRDefault="007A7D7B" w:rsidP="007A7D7B">
            <w:pPr>
              <w:autoSpaceDE w:val="0"/>
              <w:autoSpaceDN w:val="0"/>
              <w:adjustRightInd w:val="0"/>
              <w:spacing w:after="120"/>
              <w:ind w:left="90" w:right="150"/>
              <w:rPr>
                <w:bCs/>
                <w:lang w:val="ro-RO"/>
              </w:rPr>
            </w:pPr>
            <w:r w:rsidRPr="007A7D7B">
              <w:rPr>
                <w:bCs/>
                <w:lang w:val="ro-RO"/>
              </w:rPr>
              <w:t xml:space="preserve">În procesul de implementare a Directivei 2007/60/CE a Parlamentului European și a Consiliului din 23 octombrie 2007 privind evaluarea și gestionarea riscurilor de inundații, au fost semnalate dificultăți în coordonarea interinstituțională și în identificarea măsurilor optime pentru reducerea riscului la inundații, </w:t>
            </w:r>
            <w:r w:rsidRPr="007A7D7B">
              <w:rPr>
                <w:bCs/>
                <w:lang w:val="ro-RO"/>
              </w:rPr>
              <w:lastRenderedPageBreak/>
              <w:t>în special pentru acelea care necesită mai multe instituții implicate, precum și rolul acestora.</w:t>
            </w:r>
          </w:p>
          <w:p w14:paraId="649FD2AC" w14:textId="7CD4DDA0" w:rsidR="007A7D7B" w:rsidRPr="007A7D7B" w:rsidRDefault="007A7D7B" w:rsidP="007A7D7B">
            <w:pPr>
              <w:autoSpaceDE w:val="0"/>
              <w:autoSpaceDN w:val="0"/>
              <w:adjustRightInd w:val="0"/>
              <w:spacing w:after="120"/>
              <w:ind w:left="90" w:right="150"/>
              <w:rPr>
                <w:bCs/>
                <w:lang w:val="ro-RO"/>
              </w:rPr>
            </w:pPr>
            <w:r w:rsidRPr="007A7D7B">
              <w:rPr>
                <w:bCs/>
                <w:lang w:val="ro-RO"/>
              </w:rPr>
              <w:t>În ciclul II de implementare a Directivei 2007/60/CE a Parlamentului European și a Consiliului din 23 octombrie 2007, pe lângă responsabilitățile de realizare și raportare a evaluării preliminare a riscului la inundații, a hărților de hazard și risc revizuite și completate, precum și a Planurilor de management al riscului la inundații</w:t>
            </w:r>
            <w:r>
              <w:rPr>
                <w:bCs/>
                <w:lang w:val="ro-RO"/>
              </w:rPr>
              <w:t>,</w:t>
            </w:r>
            <w:r w:rsidRPr="007A7D7B">
              <w:rPr>
                <w:bCs/>
                <w:lang w:val="ro-RO"/>
              </w:rPr>
              <w:t xml:space="preserve"> este necesară asigurarea unei monitorizări corespunzătoare a implementării măsurilor tuturor instituțiilor implicate în gestionarea acestui tip de risc.</w:t>
            </w:r>
          </w:p>
          <w:p w14:paraId="6261F2F0" w14:textId="4512DFA5" w:rsidR="007A7D7B" w:rsidRPr="007A7D7B" w:rsidRDefault="007A7D7B" w:rsidP="007A7D7B">
            <w:pPr>
              <w:autoSpaceDE w:val="0"/>
              <w:autoSpaceDN w:val="0"/>
              <w:adjustRightInd w:val="0"/>
              <w:spacing w:after="120"/>
              <w:ind w:left="90" w:right="150"/>
              <w:rPr>
                <w:bCs/>
                <w:lang w:val="ro-RO"/>
              </w:rPr>
            </w:pPr>
            <w:r w:rsidRPr="007A7D7B">
              <w:rPr>
                <w:bCs/>
                <w:lang w:val="ro-RO"/>
              </w:rPr>
              <w:t xml:space="preserve">Având în vedere </w:t>
            </w:r>
            <w:r>
              <w:rPr>
                <w:bCs/>
                <w:lang w:val="ro-RO"/>
              </w:rPr>
              <w:t xml:space="preserve">faptul </w:t>
            </w:r>
            <w:r w:rsidRPr="007A7D7B">
              <w:rPr>
                <w:bCs/>
                <w:lang w:val="ro-RO"/>
              </w:rPr>
              <w:t>că, în prezent, este în vigoare Strategia națională de management al riscului la inundații pe termen mediu și lung</w:t>
            </w:r>
            <w:r>
              <w:rPr>
                <w:bCs/>
                <w:lang w:val="ro-RO"/>
              </w:rPr>
              <w:t>,</w:t>
            </w:r>
            <w:r w:rsidRPr="007A7D7B">
              <w:rPr>
                <w:bCs/>
                <w:lang w:val="ro-RO"/>
              </w:rPr>
              <w:t xml:space="preserve"> aprobat</w:t>
            </w:r>
            <w:r>
              <w:rPr>
                <w:bCs/>
                <w:lang w:val="ro-RO"/>
              </w:rPr>
              <w:t>ă</w:t>
            </w:r>
            <w:r w:rsidRPr="007A7D7B">
              <w:rPr>
                <w:bCs/>
                <w:lang w:val="ro-RO"/>
              </w:rPr>
              <w:t xml:space="preserve"> prin</w:t>
            </w:r>
            <w:r w:rsidRPr="007A7D7B">
              <w:rPr>
                <w:b/>
                <w:bCs/>
                <w:lang w:val="ro-RO"/>
              </w:rPr>
              <w:t xml:space="preserve"> </w:t>
            </w:r>
            <w:r w:rsidRPr="007A7D7B">
              <w:rPr>
                <w:bCs/>
                <w:iCs/>
                <w:lang w:val="ro-RO"/>
              </w:rPr>
              <w:t>Hotărârea Guvernului nr.846/2010</w:t>
            </w:r>
            <w:r>
              <w:rPr>
                <w:bCs/>
                <w:i/>
                <w:lang w:val="ro-RO"/>
              </w:rPr>
              <w:t xml:space="preserve">, </w:t>
            </w:r>
            <w:r w:rsidRPr="007A7D7B">
              <w:rPr>
                <w:bCs/>
                <w:lang w:val="ro-RO"/>
              </w:rPr>
              <w:t>care nu mai este aliniat</w:t>
            </w:r>
            <w:r>
              <w:rPr>
                <w:bCs/>
                <w:lang w:val="ro-RO"/>
              </w:rPr>
              <w:t>ă</w:t>
            </w:r>
            <w:r w:rsidRPr="007A7D7B">
              <w:rPr>
                <w:bCs/>
                <w:lang w:val="ro-RO"/>
              </w:rPr>
              <w:t xml:space="preserve"> în totalitate modificărilor legislative și administrative, dar și a unor cerințe de natura tehnică care au intervenit în aceasta perioadă</w:t>
            </w:r>
            <w:r>
              <w:rPr>
                <w:bCs/>
                <w:lang w:val="ro-RO"/>
              </w:rPr>
              <w:t>,</w:t>
            </w:r>
            <w:r w:rsidRPr="007A7D7B">
              <w:rPr>
                <w:bCs/>
                <w:lang w:val="ro-RO"/>
              </w:rPr>
              <w:t xml:space="preserve"> se impune realizarea unei analize a ceea ce s-a realizat pân</w:t>
            </w:r>
            <w:r>
              <w:rPr>
                <w:bCs/>
                <w:lang w:val="ro-RO"/>
              </w:rPr>
              <w:t>ă</w:t>
            </w:r>
            <w:r w:rsidRPr="007A7D7B">
              <w:rPr>
                <w:bCs/>
                <w:lang w:val="ro-RO"/>
              </w:rPr>
              <w:t xml:space="preserve"> în prezent și </w:t>
            </w:r>
            <w:r>
              <w:rPr>
                <w:bCs/>
                <w:lang w:val="ro-RO"/>
              </w:rPr>
              <w:t>actualizarea</w:t>
            </w:r>
            <w:r w:rsidRPr="007A7D7B">
              <w:rPr>
                <w:bCs/>
                <w:lang w:val="ro-RO"/>
              </w:rPr>
              <w:t xml:space="preserve"> documentului strategic conform noilor cerințe.</w:t>
            </w:r>
          </w:p>
          <w:p w14:paraId="62B1D4F3" w14:textId="2C26C307" w:rsidR="007A7D7B" w:rsidRPr="007A7D7B" w:rsidRDefault="007A7D7B" w:rsidP="007A7D7B">
            <w:pPr>
              <w:autoSpaceDE w:val="0"/>
              <w:autoSpaceDN w:val="0"/>
              <w:adjustRightInd w:val="0"/>
              <w:spacing w:after="120"/>
              <w:ind w:left="90" w:right="150"/>
              <w:rPr>
                <w:bCs/>
                <w:lang w:val="ro-RO"/>
              </w:rPr>
            </w:pPr>
            <w:r w:rsidRPr="007A7D7B">
              <w:rPr>
                <w:bCs/>
                <w:lang w:val="ro-RO"/>
              </w:rPr>
              <w:t xml:space="preserve">Actele normative </w:t>
            </w:r>
            <w:r>
              <w:rPr>
                <w:bCs/>
                <w:lang w:val="ro-RO"/>
              </w:rPr>
              <w:t>adoptate</w:t>
            </w:r>
            <w:r w:rsidRPr="007A7D7B">
              <w:rPr>
                <w:bCs/>
                <w:lang w:val="ro-RO"/>
              </w:rPr>
              <w:t xml:space="preserve"> ulterior aprobării </w:t>
            </w:r>
            <w:r w:rsidRPr="007A7D7B">
              <w:rPr>
                <w:bCs/>
                <w:iCs/>
                <w:lang w:val="ro-RO"/>
              </w:rPr>
              <w:t xml:space="preserve">Strategiei </w:t>
            </w:r>
            <w:proofErr w:type="spellStart"/>
            <w:r w:rsidRPr="007A7D7B">
              <w:rPr>
                <w:bCs/>
                <w:iCs/>
                <w:lang w:val="ro-RO"/>
              </w:rPr>
              <w:t>naţionale</w:t>
            </w:r>
            <w:proofErr w:type="spellEnd"/>
            <w:r w:rsidRPr="007A7D7B">
              <w:rPr>
                <w:bCs/>
                <w:iCs/>
                <w:lang w:val="ro-RO"/>
              </w:rPr>
              <w:t xml:space="preserve"> de management al riscului la </w:t>
            </w:r>
            <w:proofErr w:type="spellStart"/>
            <w:r w:rsidRPr="007A7D7B">
              <w:rPr>
                <w:bCs/>
                <w:iCs/>
                <w:lang w:val="ro-RO"/>
              </w:rPr>
              <w:t>inundaţii</w:t>
            </w:r>
            <w:proofErr w:type="spellEnd"/>
            <w:r w:rsidRPr="007A7D7B">
              <w:rPr>
                <w:bCs/>
                <w:iCs/>
                <w:lang w:val="ro-RO"/>
              </w:rPr>
              <w:t xml:space="preserve"> pe termen mediu </w:t>
            </w:r>
            <w:proofErr w:type="spellStart"/>
            <w:r w:rsidRPr="007A7D7B">
              <w:rPr>
                <w:bCs/>
                <w:iCs/>
                <w:lang w:val="ro-RO"/>
              </w:rPr>
              <w:t>şi</w:t>
            </w:r>
            <w:proofErr w:type="spellEnd"/>
            <w:r w:rsidRPr="007A7D7B">
              <w:rPr>
                <w:bCs/>
                <w:iCs/>
                <w:lang w:val="ro-RO"/>
              </w:rPr>
              <w:t xml:space="preserve"> lung</w:t>
            </w:r>
            <w:r>
              <w:rPr>
                <w:bCs/>
                <w:iCs/>
                <w:lang w:val="ro-RO"/>
              </w:rPr>
              <w:t>,</w:t>
            </w:r>
            <w:r w:rsidRPr="007A7D7B">
              <w:rPr>
                <w:bCs/>
                <w:iCs/>
                <w:lang w:val="ro-RO"/>
              </w:rPr>
              <w:t xml:space="preserve"> </w:t>
            </w:r>
            <w:r w:rsidRPr="007A7D7B">
              <w:rPr>
                <w:bCs/>
                <w:lang w:val="ro-RO"/>
              </w:rPr>
              <w:t xml:space="preserve">prin </w:t>
            </w:r>
            <w:r w:rsidRPr="007A7D7B">
              <w:rPr>
                <w:bCs/>
                <w:iCs/>
                <w:lang w:val="ro-RO"/>
              </w:rPr>
              <w:t>Hotărârea Guvernului nr.846/2010</w:t>
            </w:r>
            <w:r w:rsidRPr="007A7D7B">
              <w:rPr>
                <w:bCs/>
                <w:i/>
                <w:lang w:val="ro-RO"/>
              </w:rPr>
              <w:t>,</w:t>
            </w:r>
            <w:r w:rsidRPr="007A7D7B">
              <w:rPr>
                <w:bCs/>
                <w:lang w:val="ro-RO"/>
              </w:rPr>
              <w:t xml:space="preserve"> document strategic de referinț</w:t>
            </w:r>
            <w:r>
              <w:rPr>
                <w:bCs/>
                <w:lang w:val="ro-RO"/>
              </w:rPr>
              <w:t>ă</w:t>
            </w:r>
            <w:r w:rsidRPr="007A7D7B">
              <w:rPr>
                <w:bCs/>
                <w:lang w:val="ro-RO"/>
              </w:rPr>
              <w:t xml:space="preserve">, cu impact semnificativ în ceea privește instituțiile/structurile cu atribuții si responsabilități în managementul riscului de inundații, impun o revizuire a acesteia, în concordanță cu prevederile legale în vigoare, respectiv </w:t>
            </w:r>
            <w:r>
              <w:rPr>
                <w:bCs/>
                <w:lang w:val="ro-RO"/>
              </w:rPr>
              <w:t xml:space="preserve">ale </w:t>
            </w:r>
            <w:r w:rsidRPr="007A7D7B">
              <w:rPr>
                <w:bCs/>
                <w:iCs/>
                <w:lang w:val="ro-RO"/>
              </w:rPr>
              <w:t>O</w:t>
            </w:r>
            <w:r w:rsidRPr="00AB3529">
              <w:rPr>
                <w:bCs/>
                <w:iCs/>
                <w:lang w:val="ro-RO"/>
              </w:rPr>
              <w:t>rdonanței de urgență a Guvernului</w:t>
            </w:r>
            <w:r w:rsidRPr="007A7D7B">
              <w:rPr>
                <w:bCs/>
                <w:iCs/>
                <w:lang w:val="ro-RO"/>
              </w:rPr>
              <w:t xml:space="preserve"> nr.1/2014 </w:t>
            </w:r>
            <w:r w:rsidRPr="00AB3529">
              <w:rPr>
                <w:bCs/>
                <w:iCs/>
                <w:lang w:val="ro-RO"/>
              </w:rPr>
              <w:t xml:space="preserve">privind unele măsuri în domeniul managementului </w:t>
            </w:r>
            <w:proofErr w:type="spellStart"/>
            <w:r w:rsidRPr="00AB3529">
              <w:rPr>
                <w:bCs/>
                <w:iCs/>
                <w:lang w:val="ro-RO"/>
              </w:rPr>
              <w:t>situaţiilor</w:t>
            </w:r>
            <w:proofErr w:type="spellEnd"/>
            <w:r w:rsidRPr="00AB3529">
              <w:rPr>
                <w:bCs/>
                <w:iCs/>
                <w:lang w:val="ro-RO"/>
              </w:rPr>
              <w:t xml:space="preserve"> de </w:t>
            </w:r>
            <w:proofErr w:type="spellStart"/>
            <w:r w:rsidRPr="00AB3529">
              <w:rPr>
                <w:bCs/>
                <w:iCs/>
                <w:lang w:val="ro-RO"/>
              </w:rPr>
              <w:t>urgenţă</w:t>
            </w:r>
            <w:proofErr w:type="spellEnd"/>
            <w:r w:rsidRPr="00AB3529">
              <w:rPr>
                <w:bCs/>
                <w:iCs/>
                <w:lang w:val="ro-RO"/>
              </w:rPr>
              <w:t xml:space="preserve">, precum </w:t>
            </w:r>
            <w:proofErr w:type="spellStart"/>
            <w:r w:rsidRPr="00AB3529">
              <w:rPr>
                <w:bCs/>
                <w:iCs/>
                <w:lang w:val="ro-RO"/>
              </w:rPr>
              <w:t>şi</w:t>
            </w:r>
            <w:proofErr w:type="spellEnd"/>
            <w:r w:rsidRPr="00AB3529">
              <w:rPr>
                <w:bCs/>
                <w:iCs/>
                <w:lang w:val="ro-RO"/>
              </w:rPr>
              <w:t xml:space="preserve"> pentru modificarea </w:t>
            </w:r>
            <w:proofErr w:type="spellStart"/>
            <w:r w:rsidRPr="00AB3529">
              <w:rPr>
                <w:bCs/>
                <w:iCs/>
                <w:lang w:val="ro-RO"/>
              </w:rPr>
              <w:t>şi</w:t>
            </w:r>
            <w:proofErr w:type="spellEnd"/>
            <w:r w:rsidRPr="00AB3529">
              <w:rPr>
                <w:bCs/>
                <w:iCs/>
                <w:lang w:val="ro-RO"/>
              </w:rPr>
              <w:t xml:space="preserve"> completarea </w:t>
            </w:r>
            <w:proofErr w:type="spellStart"/>
            <w:r w:rsidRPr="00AB3529">
              <w:rPr>
                <w:bCs/>
                <w:iCs/>
                <w:lang w:val="ro-RO"/>
              </w:rPr>
              <w:t>Ordonanţei</w:t>
            </w:r>
            <w:proofErr w:type="spellEnd"/>
            <w:r w:rsidRPr="00AB3529">
              <w:rPr>
                <w:bCs/>
                <w:iCs/>
                <w:lang w:val="ro-RO"/>
              </w:rPr>
              <w:t xml:space="preserve"> de </w:t>
            </w:r>
            <w:proofErr w:type="spellStart"/>
            <w:r w:rsidRPr="00AB3529">
              <w:rPr>
                <w:bCs/>
                <w:iCs/>
                <w:lang w:val="ro-RO"/>
              </w:rPr>
              <w:t>urgenţă</w:t>
            </w:r>
            <w:proofErr w:type="spellEnd"/>
            <w:r w:rsidRPr="00AB3529">
              <w:rPr>
                <w:bCs/>
                <w:iCs/>
                <w:lang w:val="ro-RO"/>
              </w:rPr>
              <w:t xml:space="preserve"> a Guvernului nr. 21/2004 privind Sistemul </w:t>
            </w:r>
            <w:proofErr w:type="spellStart"/>
            <w:r w:rsidRPr="00AB3529">
              <w:rPr>
                <w:bCs/>
                <w:iCs/>
                <w:lang w:val="ro-RO"/>
              </w:rPr>
              <w:t>Naţional</w:t>
            </w:r>
            <w:proofErr w:type="spellEnd"/>
            <w:r w:rsidRPr="00AB3529">
              <w:rPr>
                <w:bCs/>
                <w:iCs/>
                <w:lang w:val="ro-RO"/>
              </w:rPr>
              <w:t xml:space="preserve"> de Management al </w:t>
            </w:r>
            <w:proofErr w:type="spellStart"/>
            <w:r w:rsidRPr="00AB3529">
              <w:rPr>
                <w:bCs/>
                <w:iCs/>
                <w:lang w:val="ro-RO"/>
              </w:rPr>
              <w:t>Situaţiilor</w:t>
            </w:r>
            <w:proofErr w:type="spellEnd"/>
            <w:r w:rsidRPr="00AB3529">
              <w:rPr>
                <w:bCs/>
                <w:iCs/>
                <w:lang w:val="ro-RO"/>
              </w:rPr>
              <w:t xml:space="preserve"> de </w:t>
            </w:r>
            <w:proofErr w:type="spellStart"/>
            <w:r w:rsidRPr="00AB3529">
              <w:rPr>
                <w:bCs/>
                <w:iCs/>
                <w:lang w:val="ro-RO"/>
              </w:rPr>
              <w:t>Urgenţă</w:t>
            </w:r>
            <w:proofErr w:type="spellEnd"/>
            <w:r w:rsidR="00AB3529">
              <w:rPr>
                <w:bCs/>
                <w:iCs/>
                <w:lang w:val="ro-RO"/>
              </w:rPr>
              <w:t xml:space="preserve">, ale </w:t>
            </w:r>
            <w:proofErr w:type="spellStart"/>
            <w:r w:rsidR="00AB3529" w:rsidRPr="00AB3529">
              <w:rPr>
                <w:bCs/>
                <w:iCs/>
                <w:lang w:val="ro-RO"/>
              </w:rPr>
              <w:t>Ordonanţei</w:t>
            </w:r>
            <w:proofErr w:type="spellEnd"/>
            <w:r w:rsidR="00AB3529" w:rsidRPr="00AB3529">
              <w:rPr>
                <w:bCs/>
                <w:iCs/>
                <w:lang w:val="ro-RO"/>
              </w:rPr>
              <w:t xml:space="preserve"> de </w:t>
            </w:r>
            <w:proofErr w:type="spellStart"/>
            <w:r w:rsidR="00AB3529" w:rsidRPr="00AB3529">
              <w:rPr>
                <w:bCs/>
                <w:iCs/>
                <w:lang w:val="ro-RO"/>
              </w:rPr>
              <w:t>urgenţă</w:t>
            </w:r>
            <w:proofErr w:type="spellEnd"/>
            <w:r w:rsidR="00AB3529" w:rsidRPr="00AB3529">
              <w:rPr>
                <w:bCs/>
                <w:iCs/>
                <w:lang w:val="ro-RO"/>
              </w:rPr>
              <w:t xml:space="preserve"> a Guvernului </w:t>
            </w:r>
            <w:r w:rsidRPr="007A7D7B">
              <w:rPr>
                <w:bCs/>
                <w:iCs/>
                <w:lang w:val="ro-RO"/>
              </w:rPr>
              <w:t xml:space="preserve">nr.21/2004 privind Sistemul Național de Management al Situațiilor de Urgență, </w:t>
            </w:r>
            <w:r w:rsidR="00AB3529" w:rsidRPr="00AB3529">
              <w:rPr>
                <w:bCs/>
                <w:iCs/>
                <w:lang w:val="ro-RO"/>
              </w:rPr>
              <w:t xml:space="preserve">aprobată cu modificări și completări prin Legea nr. 15/2005, </w:t>
            </w:r>
            <w:r w:rsidRPr="007A7D7B">
              <w:rPr>
                <w:bCs/>
                <w:iCs/>
                <w:lang w:val="ro-RO"/>
              </w:rPr>
              <w:t>cu modificările și completările ulterioare,</w:t>
            </w:r>
            <w:r w:rsidRPr="007A7D7B">
              <w:rPr>
                <w:bCs/>
                <w:i/>
                <w:lang w:val="ro-RO"/>
              </w:rPr>
              <w:t xml:space="preserve"> </w:t>
            </w:r>
            <w:r w:rsidR="00AB3529" w:rsidRPr="00930620">
              <w:rPr>
                <w:bCs/>
                <w:iCs/>
                <w:lang w:val="ro-RO"/>
              </w:rPr>
              <w:t>ale</w:t>
            </w:r>
            <w:r w:rsidR="00AB3529">
              <w:rPr>
                <w:bCs/>
                <w:i/>
                <w:lang w:val="ro-RO"/>
              </w:rPr>
              <w:t xml:space="preserve"> </w:t>
            </w:r>
            <w:r w:rsidRPr="007A7D7B">
              <w:rPr>
                <w:bCs/>
                <w:iCs/>
                <w:lang w:val="ro-RO"/>
              </w:rPr>
              <w:t>Hotărârea Guvernului nr.557/2016</w:t>
            </w:r>
            <w:r w:rsidR="00AB3529" w:rsidRPr="00AB3529">
              <w:rPr>
                <w:bCs/>
                <w:iCs/>
                <w:lang w:val="ro-RO"/>
              </w:rPr>
              <w:t>,</w:t>
            </w:r>
            <w:r w:rsidR="00AB3529">
              <w:rPr>
                <w:bCs/>
                <w:i/>
                <w:lang w:val="ro-RO"/>
              </w:rPr>
              <w:t xml:space="preserve"> </w:t>
            </w:r>
            <w:r w:rsidR="00AB3529">
              <w:rPr>
                <w:bCs/>
                <w:lang w:val="ro-RO"/>
              </w:rPr>
              <w:t>cu modificările și completările ulterioare, precum și ale</w:t>
            </w:r>
            <w:r w:rsidRPr="007A7D7B">
              <w:rPr>
                <w:bCs/>
                <w:i/>
                <w:lang w:val="ro-RO"/>
              </w:rPr>
              <w:t xml:space="preserve"> </w:t>
            </w:r>
            <w:r w:rsidRPr="007A7D7B">
              <w:rPr>
                <w:bCs/>
                <w:iCs/>
                <w:lang w:val="ro-RO"/>
              </w:rPr>
              <w:t>Hotărâr</w:t>
            </w:r>
            <w:r w:rsidR="00AB3529" w:rsidRPr="00AB3529">
              <w:rPr>
                <w:bCs/>
                <w:iCs/>
                <w:lang w:val="ro-RO"/>
              </w:rPr>
              <w:t>ii</w:t>
            </w:r>
            <w:r w:rsidRPr="007A7D7B">
              <w:rPr>
                <w:bCs/>
                <w:iCs/>
                <w:lang w:val="ro-RO"/>
              </w:rPr>
              <w:t xml:space="preserve"> Guvernului nr.94/2014 privind organizarea, funcționarea și componența Comitetului național pentru situații speciale de urgență, cu modificările și completările ulterioare.</w:t>
            </w:r>
            <w:r w:rsidRPr="007A7D7B">
              <w:rPr>
                <w:bCs/>
                <w:lang w:val="ro-RO"/>
              </w:rPr>
              <w:t xml:space="preserve"> </w:t>
            </w:r>
          </w:p>
          <w:p w14:paraId="5B436077" w14:textId="77777777" w:rsidR="007A7D7B" w:rsidRPr="007A7D7B" w:rsidRDefault="007A7D7B" w:rsidP="007A7D7B">
            <w:pPr>
              <w:autoSpaceDE w:val="0"/>
              <w:autoSpaceDN w:val="0"/>
              <w:adjustRightInd w:val="0"/>
              <w:spacing w:after="120"/>
              <w:ind w:left="90" w:right="150"/>
              <w:rPr>
                <w:bCs/>
                <w:lang w:val="ro-RO"/>
              </w:rPr>
            </w:pPr>
            <w:r w:rsidRPr="007A7D7B">
              <w:rPr>
                <w:bCs/>
                <w:lang w:val="ro-RO"/>
              </w:rPr>
              <w:t>Prin urmare, s-a identificat nevoia de optimizare a cadrului legal și instituțional prin stabilirea suprapunerilor legislative și a lipsurilor în domeniul managementului riscurilor la inundații, în vederea clarificării rolurilor și competențelor autorităților publice centrale și locale, precum și a modalităților de raportare și monitorizare a implementării măsurilor prevăzute în această Strategie.</w:t>
            </w:r>
          </w:p>
          <w:p w14:paraId="22673AE8" w14:textId="6AA4EE17" w:rsidR="007A7D7B" w:rsidRDefault="007A7D7B" w:rsidP="00AB3529">
            <w:pPr>
              <w:autoSpaceDE w:val="0"/>
              <w:autoSpaceDN w:val="0"/>
              <w:adjustRightInd w:val="0"/>
              <w:spacing w:after="120"/>
              <w:ind w:left="90" w:right="150"/>
              <w:rPr>
                <w:bCs/>
                <w:lang w:val="ro-RO"/>
              </w:rPr>
            </w:pPr>
            <w:r w:rsidRPr="007A7D7B">
              <w:rPr>
                <w:bCs/>
                <w:lang w:val="ro-RO"/>
              </w:rPr>
              <w:t xml:space="preserve">Tot acest proces de revizuire este necesar și pentru îmbunătățirea coordonării procesului de implementare, monitorizare și raportare a prevederilor Strategiei </w:t>
            </w:r>
            <w:r w:rsidR="00AB3529" w:rsidRPr="007A7D7B">
              <w:rPr>
                <w:bCs/>
                <w:lang w:val="ro-RO"/>
              </w:rPr>
              <w:t xml:space="preserve">naționale de management al riscului la inundații </w:t>
            </w:r>
            <w:r w:rsidRPr="007A7D7B">
              <w:rPr>
                <w:bCs/>
                <w:lang w:val="ro-RO"/>
              </w:rPr>
              <w:t>pe termen mediu și lung, cu respectarea cerințelor și abordărilor existente la nivel european.</w:t>
            </w:r>
          </w:p>
          <w:p w14:paraId="1FA2C1D5" w14:textId="28D5854A" w:rsidR="007A7D7B" w:rsidRPr="007A7D7B" w:rsidRDefault="007A7D7B" w:rsidP="007A7D7B">
            <w:pPr>
              <w:autoSpaceDE w:val="0"/>
              <w:autoSpaceDN w:val="0"/>
              <w:adjustRightInd w:val="0"/>
              <w:spacing w:after="120"/>
              <w:ind w:left="90" w:right="150"/>
              <w:rPr>
                <w:bCs/>
                <w:lang w:val="ro-RO"/>
              </w:rPr>
            </w:pPr>
            <w:r w:rsidRPr="00DD6C6D">
              <w:rPr>
                <w:bCs/>
                <w:lang w:val="ro-RO"/>
              </w:rPr>
              <w:t>Inițiativa Ministerului Mediului, Apelor și Pădurilor</w:t>
            </w:r>
          </w:p>
        </w:tc>
      </w:tr>
      <w:tr w:rsidR="00AB3529" w:rsidRPr="007A7D7B" w14:paraId="0969DE88" w14:textId="77777777" w:rsidTr="007A7D7B">
        <w:trPr>
          <w:trHeight w:val="321"/>
          <w:tblCellSpacing w:w="0" w:type="dxa"/>
        </w:trPr>
        <w:tc>
          <w:tcPr>
            <w:tcW w:w="3479" w:type="dxa"/>
            <w:tcMar>
              <w:top w:w="15" w:type="dxa"/>
              <w:left w:w="15" w:type="dxa"/>
              <w:bottom w:w="15" w:type="dxa"/>
              <w:right w:w="15" w:type="dxa"/>
            </w:tcMar>
          </w:tcPr>
          <w:p w14:paraId="1AFA9141" w14:textId="77777777" w:rsidR="00AB3529" w:rsidRPr="007A7D7B" w:rsidRDefault="00AB3529" w:rsidP="00AB3529">
            <w:pPr>
              <w:spacing w:after="120"/>
              <w:rPr>
                <w:bCs/>
                <w:lang w:val="ro-RO"/>
              </w:rPr>
            </w:pPr>
            <w:r w:rsidRPr="007A7D7B">
              <w:rPr>
                <w:bCs/>
                <w:lang w:val="ro-RO"/>
              </w:rPr>
              <w:lastRenderedPageBreak/>
              <w:t>2.2. Descrierea situației actuale</w:t>
            </w:r>
          </w:p>
        </w:tc>
        <w:tc>
          <w:tcPr>
            <w:tcW w:w="6781" w:type="dxa"/>
            <w:gridSpan w:val="3"/>
            <w:tcMar>
              <w:top w:w="15" w:type="dxa"/>
              <w:left w:w="15" w:type="dxa"/>
              <w:bottom w:w="15" w:type="dxa"/>
              <w:right w:w="15" w:type="dxa"/>
            </w:tcMar>
          </w:tcPr>
          <w:p w14:paraId="11A264FF" w14:textId="63F4976B" w:rsidR="00AB3529" w:rsidRPr="006C3081" w:rsidRDefault="00AB3529" w:rsidP="00AB3529">
            <w:pPr>
              <w:ind w:left="90" w:right="150"/>
              <w:outlineLvl w:val="1"/>
              <w:rPr>
                <w:rFonts w:eastAsia="Arial Unicode MS"/>
                <w:color w:val="000000"/>
                <w:szCs w:val="24"/>
                <w:lang w:val="ro-RO" w:bidi="en-US"/>
              </w:rPr>
            </w:pPr>
            <w:r w:rsidRPr="006C3081">
              <w:rPr>
                <w:rFonts w:eastAsia="Arial Unicode MS"/>
                <w:color w:val="000000"/>
                <w:szCs w:val="24"/>
                <w:lang w:val="ro-RO" w:bidi="en-US"/>
              </w:rPr>
              <w:t>Ministerul Mediului, Apelor și Pădurilor și Administrați</w:t>
            </w:r>
            <w:r>
              <w:rPr>
                <w:rFonts w:eastAsia="Arial Unicode MS"/>
                <w:color w:val="000000"/>
                <w:szCs w:val="24"/>
                <w:lang w:val="ro-RO" w:bidi="en-US"/>
              </w:rPr>
              <w:t>a</w:t>
            </w:r>
            <w:r w:rsidRPr="006C3081">
              <w:rPr>
                <w:rFonts w:eastAsia="Arial Unicode MS"/>
                <w:color w:val="000000"/>
                <w:szCs w:val="24"/>
                <w:lang w:val="ro-RO" w:bidi="en-US"/>
              </w:rPr>
              <w:t xml:space="preserve"> Național</w:t>
            </w:r>
            <w:r>
              <w:rPr>
                <w:rFonts w:eastAsia="Arial Unicode MS"/>
                <w:color w:val="000000"/>
                <w:szCs w:val="24"/>
                <w:lang w:val="ro-RO" w:bidi="en-US"/>
              </w:rPr>
              <w:t>ă</w:t>
            </w:r>
            <w:r w:rsidRPr="006C3081">
              <w:rPr>
                <w:rFonts w:eastAsia="Arial Unicode MS"/>
                <w:color w:val="000000"/>
                <w:szCs w:val="24"/>
                <w:lang w:val="ro-RO" w:bidi="en-US"/>
              </w:rPr>
              <w:t xml:space="preserve"> ”Apele Române” au identificat următoarele probleme:</w:t>
            </w:r>
          </w:p>
          <w:p w14:paraId="1E093666" w14:textId="76477A52" w:rsidR="00AB3529" w:rsidRPr="006C3081" w:rsidRDefault="00AB3529" w:rsidP="00AB3529">
            <w:pPr>
              <w:widowControl w:val="0"/>
              <w:ind w:left="90" w:right="150"/>
              <w:contextualSpacing/>
              <w:outlineLvl w:val="1"/>
              <w:rPr>
                <w:rFonts w:eastAsia="Arial Unicode MS"/>
                <w:color w:val="000000"/>
                <w:szCs w:val="24"/>
                <w:lang w:val="ro-RO" w:bidi="en-US"/>
              </w:rPr>
            </w:pPr>
            <w:r w:rsidRPr="006C3081">
              <w:rPr>
                <w:rFonts w:eastAsia="Arial Unicode MS"/>
                <w:color w:val="000000"/>
                <w:szCs w:val="24"/>
                <w:lang w:val="ro-RO" w:bidi="en-US"/>
              </w:rPr>
              <w:t>1.</w:t>
            </w:r>
            <w:r w:rsidRPr="006C3081">
              <w:rPr>
                <w:rFonts w:eastAsia="Arial Unicode MS"/>
                <w:color w:val="000000"/>
                <w:szCs w:val="24"/>
                <w:lang w:val="ro-RO" w:bidi="en-US"/>
              </w:rPr>
              <w:tab/>
            </w:r>
            <w:r>
              <w:rPr>
                <w:rFonts w:eastAsia="Arial Unicode MS"/>
                <w:color w:val="000000"/>
                <w:szCs w:val="24"/>
                <w:lang w:val="ro-RO" w:bidi="en-US"/>
              </w:rPr>
              <w:t>d</w:t>
            </w:r>
            <w:r w:rsidRPr="006C3081">
              <w:rPr>
                <w:rFonts w:eastAsia="Arial Unicode MS"/>
                <w:color w:val="000000"/>
                <w:szCs w:val="24"/>
                <w:lang w:val="ro-RO" w:bidi="en-US"/>
              </w:rPr>
              <w:t>isponibilitatea și accesibilitatea datelor pentru luarea deciziei din cauza existenței unui flux de colectare și prelucrare a datelor care necesită o mare perioadă de timp;</w:t>
            </w:r>
          </w:p>
          <w:p w14:paraId="62789D87" w14:textId="693084DC" w:rsidR="00AB3529" w:rsidRPr="006C3081" w:rsidRDefault="00AB3529" w:rsidP="00AB3529">
            <w:pPr>
              <w:widowControl w:val="0"/>
              <w:ind w:left="90" w:right="150"/>
              <w:contextualSpacing/>
              <w:outlineLvl w:val="1"/>
              <w:rPr>
                <w:rFonts w:eastAsia="Arial Unicode MS"/>
                <w:color w:val="000000"/>
                <w:szCs w:val="24"/>
                <w:lang w:val="ro-RO" w:bidi="en-US"/>
              </w:rPr>
            </w:pPr>
            <w:r w:rsidRPr="006C3081">
              <w:rPr>
                <w:rFonts w:eastAsia="Arial Unicode MS"/>
                <w:color w:val="000000"/>
                <w:szCs w:val="24"/>
                <w:lang w:val="ro-RO" w:bidi="en-US"/>
              </w:rPr>
              <w:t>2.</w:t>
            </w:r>
            <w:r w:rsidRPr="006C3081">
              <w:rPr>
                <w:rFonts w:eastAsia="Arial Unicode MS"/>
                <w:color w:val="000000"/>
                <w:szCs w:val="24"/>
                <w:lang w:val="ro-RO" w:bidi="en-US"/>
              </w:rPr>
              <w:tab/>
            </w:r>
            <w:r>
              <w:rPr>
                <w:rFonts w:eastAsia="Arial Unicode MS"/>
                <w:color w:val="000000"/>
                <w:szCs w:val="24"/>
                <w:lang w:val="ro-RO" w:bidi="en-US"/>
              </w:rPr>
              <w:t>c</w:t>
            </w:r>
            <w:r w:rsidRPr="006C3081">
              <w:rPr>
                <w:rFonts w:eastAsia="Arial Unicode MS"/>
                <w:color w:val="000000"/>
                <w:szCs w:val="24"/>
                <w:lang w:val="ro-RO" w:bidi="en-US"/>
              </w:rPr>
              <w:t>olaborarea deficitară cu alte autorități naționale și locale implicate în implementarea Strategiei naționale de management al riscului la inundații;</w:t>
            </w:r>
          </w:p>
          <w:p w14:paraId="48401FE8" w14:textId="2CD0B678" w:rsidR="00AB3529" w:rsidRPr="006C3081" w:rsidRDefault="00AB3529" w:rsidP="00AB3529">
            <w:pPr>
              <w:widowControl w:val="0"/>
              <w:ind w:left="90" w:right="150"/>
              <w:contextualSpacing/>
              <w:outlineLvl w:val="1"/>
              <w:rPr>
                <w:rFonts w:eastAsia="Arial Unicode MS"/>
                <w:color w:val="000000"/>
                <w:szCs w:val="24"/>
                <w:lang w:val="ro-RO" w:bidi="en-US"/>
              </w:rPr>
            </w:pPr>
            <w:r w:rsidRPr="006C3081">
              <w:rPr>
                <w:rFonts w:eastAsia="Arial Unicode MS"/>
                <w:color w:val="000000"/>
                <w:szCs w:val="24"/>
                <w:lang w:val="ro-RO" w:bidi="en-US"/>
              </w:rPr>
              <w:t>3.</w:t>
            </w:r>
            <w:r w:rsidRPr="006C3081">
              <w:rPr>
                <w:rFonts w:eastAsia="Arial Unicode MS"/>
                <w:color w:val="000000"/>
                <w:szCs w:val="24"/>
                <w:lang w:val="ro-RO" w:bidi="en-US"/>
              </w:rPr>
              <w:tab/>
            </w:r>
            <w:r>
              <w:rPr>
                <w:rFonts w:eastAsia="Arial Unicode MS"/>
                <w:color w:val="000000"/>
                <w:szCs w:val="24"/>
                <w:lang w:val="ro-RO" w:bidi="en-US"/>
              </w:rPr>
              <w:t>d</w:t>
            </w:r>
            <w:r w:rsidRPr="006C3081">
              <w:rPr>
                <w:rFonts w:eastAsia="Arial Unicode MS"/>
                <w:color w:val="000000"/>
                <w:szCs w:val="24"/>
                <w:lang w:val="ro-RO" w:bidi="en-US"/>
              </w:rPr>
              <w:t>ificultăți în evaluarea progresului implementării din cauza necorelării dintre rapoartele de monitorizare a implementării și planul de implementare al Strategiei Naționale de Management al Riscului la Inundații;</w:t>
            </w:r>
          </w:p>
          <w:p w14:paraId="5F14D548" w14:textId="1803A852" w:rsidR="00AB3529" w:rsidRPr="006C3081" w:rsidRDefault="00AB3529" w:rsidP="00AB3529">
            <w:pPr>
              <w:widowControl w:val="0"/>
              <w:ind w:left="90" w:right="150"/>
              <w:contextualSpacing/>
              <w:outlineLvl w:val="1"/>
              <w:rPr>
                <w:rFonts w:eastAsia="Arial Unicode MS"/>
                <w:color w:val="000000"/>
                <w:szCs w:val="24"/>
                <w:lang w:val="ro-RO" w:bidi="en-US"/>
              </w:rPr>
            </w:pPr>
            <w:r w:rsidRPr="006C3081">
              <w:rPr>
                <w:rFonts w:eastAsia="Arial Unicode MS"/>
                <w:color w:val="000000"/>
                <w:szCs w:val="24"/>
                <w:lang w:val="ro-RO" w:bidi="en-US"/>
              </w:rPr>
              <w:t>4.</w:t>
            </w:r>
            <w:r w:rsidRPr="006C3081">
              <w:rPr>
                <w:rFonts w:eastAsia="Arial Unicode MS"/>
                <w:color w:val="000000"/>
                <w:szCs w:val="24"/>
                <w:lang w:val="ro-RO" w:bidi="en-US"/>
              </w:rPr>
              <w:tab/>
            </w:r>
            <w:r>
              <w:rPr>
                <w:rFonts w:eastAsia="Arial Unicode MS"/>
                <w:color w:val="000000"/>
                <w:szCs w:val="24"/>
                <w:lang w:val="ro-RO" w:bidi="en-US"/>
              </w:rPr>
              <w:t>r</w:t>
            </w:r>
            <w:r w:rsidRPr="006C3081">
              <w:rPr>
                <w:rFonts w:eastAsia="Arial Unicode MS"/>
                <w:color w:val="000000"/>
                <w:szCs w:val="24"/>
                <w:lang w:val="ro-RO" w:bidi="en-US"/>
              </w:rPr>
              <w:t>esponsabilizarea deficitară la nivelul autorităților publice centrale și locale.</w:t>
            </w:r>
          </w:p>
          <w:p w14:paraId="3D47085E" w14:textId="3F33EB67"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Toate aceste aspecte au fost semnalate pe parcursul elaborării, implementării Planurilor de management al riscului la inundații și în etapa de monitorizare a implementării măsurilor stabilite în cadrul acestora de către toți factorii responsabili cu managementul riscului la inundații, inclusiv în cadrul concluziilor Auditului realizat de către Curtea Europeană de Conturi la sfârșitul anului 2017 - începutul anului 2018.</w:t>
            </w:r>
          </w:p>
          <w:p w14:paraId="6918D67D" w14:textId="51D8D4E8"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Strategia națională de management al riscului la inundații revizuită constituie fundamentul deciziilor strategice care să vizeze reducerea riscurilor de dezastre și implicit, creșterea siguranței cetățeanului și a mediului de afaceri.</w:t>
            </w:r>
          </w:p>
          <w:p w14:paraId="78E9592A" w14:textId="12DACCC9"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 xml:space="preserve">În cadrul Programului Operațional Capacitate Administrativă, Ministerul Mediului, Apelor și Pădurilor împreună cu Administrația Națională ”Apele Române” au în derulare proiectul </w:t>
            </w:r>
            <w:r>
              <w:rPr>
                <w:rFonts w:eastAsia="Arial Unicode MS"/>
                <w:color w:val="000000"/>
                <w:szCs w:val="24"/>
                <w:lang w:val="ro-RO" w:bidi="en-US"/>
              </w:rPr>
              <w:t>„</w:t>
            </w:r>
            <w:r w:rsidRPr="00AB3529">
              <w:rPr>
                <w:rFonts w:eastAsia="Arial Unicode MS"/>
                <w:i/>
                <w:iCs/>
                <w:color w:val="000000"/>
                <w:szCs w:val="24"/>
                <w:lang w:val="ro-RO" w:bidi="en-US"/>
              </w:rPr>
              <w:t>Întărirea capacității autorității publice centrale în domeniul apelor în scopul implementării etapelor a 2-a și a 3-a ale Ciclului II al Directivei Inundații - ROFLOODS</w:t>
            </w:r>
            <w:r w:rsidRPr="006C3081">
              <w:rPr>
                <w:rFonts w:eastAsia="Arial Unicode MS"/>
                <w:color w:val="000000"/>
                <w:szCs w:val="24"/>
                <w:lang w:val="ro-RO" w:bidi="en-US"/>
              </w:rPr>
              <w:t>”, având ca obiective principale :</w:t>
            </w:r>
          </w:p>
          <w:p w14:paraId="2B0EA5B5" w14:textId="491980E6" w:rsidR="00AB3529" w:rsidRPr="006C3081" w:rsidRDefault="00AB3529" w:rsidP="00AB3529">
            <w:pPr>
              <w:widowControl w:val="0"/>
              <w:ind w:left="90" w:right="150"/>
              <w:contextualSpacing/>
              <w:outlineLvl w:val="1"/>
              <w:rPr>
                <w:rFonts w:eastAsia="Arial Unicode MS"/>
                <w:color w:val="000000"/>
                <w:szCs w:val="24"/>
                <w:lang w:val="ro-RO" w:bidi="en-US"/>
              </w:rPr>
            </w:pPr>
            <w:r w:rsidRPr="006C3081">
              <w:rPr>
                <w:rFonts w:eastAsia="Arial Unicode MS"/>
                <w:color w:val="000000"/>
                <w:szCs w:val="24"/>
                <w:lang w:val="ro-RO" w:bidi="en-US"/>
              </w:rPr>
              <w:t>-</w:t>
            </w:r>
            <w:r w:rsidRPr="006C3081">
              <w:rPr>
                <w:rFonts w:eastAsia="Arial Unicode MS"/>
                <w:color w:val="000000"/>
                <w:szCs w:val="24"/>
                <w:lang w:val="ro-RO" w:bidi="en-US"/>
              </w:rPr>
              <w:tab/>
              <w:t xml:space="preserve">realizarea Hărților de Hazard și de Risc la Inundații în vederea pregătirii de către autoritățile responsabile a raportării acestora către CE (etapa a 2-a a Ciclului II de implementare a </w:t>
            </w:r>
            <w:r w:rsidRPr="007A7D7B">
              <w:rPr>
                <w:bCs/>
                <w:lang w:val="ro-RO"/>
              </w:rPr>
              <w:t>Directivei 2007/60/CE a Parlamentului European și a Consiliului din 23 octombrie 2007</w:t>
            </w:r>
            <w:r w:rsidRPr="006C3081">
              <w:rPr>
                <w:rFonts w:eastAsia="Arial Unicode MS"/>
                <w:color w:val="000000"/>
                <w:szCs w:val="24"/>
                <w:lang w:val="ro-RO" w:bidi="en-US"/>
              </w:rPr>
              <w:t>, care vine în sprijinul autorităților județene și locale pentru îmbunătățirea planurilor de amenajare a teritoriului la nivel național, județean, zonal, a planurilor de urbanism – PUG, PUZ, PUD, a planurilor locale/județene de apărare împotriva inundațiilor, ghețurilor și poluărilor accidentale);</w:t>
            </w:r>
          </w:p>
          <w:p w14:paraId="6BF7D78F" w14:textId="008773B4" w:rsidR="00AB3529" w:rsidRPr="006C3081" w:rsidRDefault="00AB3529" w:rsidP="00930620">
            <w:pPr>
              <w:ind w:left="90" w:right="150"/>
              <w:rPr>
                <w:color w:val="000000"/>
                <w:szCs w:val="24"/>
                <w:lang w:val="ro-RO"/>
              </w:rPr>
            </w:pPr>
            <w:r w:rsidRPr="006C3081">
              <w:rPr>
                <w:rFonts w:eastAsia="Arial Unicode MS"/>
                <w:color w:val="000000"/>
                <w:szCs w:val="24"/>
                <w:lang w:val="ro-RO" w:bidi="en-US"/>
              </w:rPr>
              <w:t>-</w:t>
            </w:r>
            <w:r w:rsidRPr="006C3081">
              <w:rPr>
                <w:rFonts w:eastAsia="Arial Unicode MS"/>
                <w:color w:val="000000"/>
                <w:szCs w:val="24"/>
                <w:lang w:val="ro-RO" w:bidi="en-US"/>
              </w:rPr>
              <w:tab/>
              <w:t xml:space="preserve">realizarea noilor Planuri de management a riscurilor la inundații la nivelul bazinelor hidrografice, inclusiv fluviul Dunărea în vederea pregătirii de către autoritățile responsabile a raportării acestora către CE (etapa a 3-a a Ciclului II de implementare a </w:t>
            </w:r>
            <w:r w:rsidRPr="007A7D7B">
              <w:rPr>
                <w:rFonts w:eastAsia="Arial Unicode MS"/>
                <w:bCs/>
                <w:color w:val="000000"/>
                <w:szCs w:val="24"/>
                <w:lang w:val="ro-RO" w:bidi="en-US"/>
              </w:rPr>
              <w:t xml:space="preserve">Directivei 2007/60/CE </w:t>
            </w:r>
            <w:r w:rsidRPr="00AB3529">
              <w:rPr>
                <w:rFonts w:eastAsia="Arial Unicode MS"/>
                <w:bCs/>
                <w:color w:val="000000"/>
                <w:szCs w:val="24"/>
                <w:lang w:val="ro-RO" w:bidi="en-US"/>
              </w:rPr>
              <w:t>a Parlamentului European și a Consiliului din 23 octombrie 2007</w:t>
            </w:r>
            <w:r w:rsidRPr="006C3081">
              <w:rPr>
                <w:rFonts w:eastAsia="Arial Unicode MS"/>
                <w:color w:val="000000"/>
                <w:szCs w:val="24"/>
                <w:lang w:val="ro-RO" w:bidi="en-US"/>
              </w:rPr>
              <w:t>, planuri care includ combinații de măsuri structurale/</w:t>
            </w:r>
            <w:proofErr w:type="spellStart"/>
            <w:r w:rsidRPr="006C3081">
              <w:rPr>
                <w:rFonts w:eastAsia="Arial Unicode MS"/>
                <w:color w:val="000000"/>
                <w:szCs w:val="24"/>
                <w:lang w:val="ro-RO" w:bidi="en-US"/>
              </w:rPr>
              <w:t>nonstructurale</w:t>
            </w:r>
            <w:proofErr w:type="spellEnd"/>
            <w:r w:rsidRPr="006C3081">
              <w:rPr>
                <w:rFonts w:eastAsia="Arial Unicode MS"/>
                <w:color w:val="000000"/>
                <w:szCs w:val="24"/>
                <w:lang w:val="ro-RO" w:bidi="en-US"/>
              </w:rPr>
              <w:t>, măsuri verzi și de punere în siguranță a infrastructurii de apărare existente</w:t>
            </w:r>
            <w:r>
              <w:rPr>
                <w:rFonts w:eastAsia="Arial Unicode MS"/>
                <w:color w:val="000000"/>
                <w:szCs w:val="24"/>
                <w:lang w:val="ro-RO" w:bidi="en-US"/>
              </w:rPr>
              <w:t>,</w:t>
            </w:r>
            <w:r w:rsidRPr="006C3081">
              <w:rPr>
                <w:rFonts w:eastAsia="Arial Unicode MS"/>
                <w:color w:val="000000"/>
                <w:szCs w:val="24"/>
                <w:lang w:val="ro-RO" w:bidi="en-US"/>
              </w:rPr>
              <w:t xml:space="preserve"> finalizat prin </w:t>
            </w:r>
            <w:r>
              <w:rPr>
                <w:rFonts w:eastAsia="Arial Unicode MS"/>
                <w:color w:val="000000"/>
                <w:szCs w:val="24"/>
                <w:lang w:val="ro-RO" w:bidi="en-US"/>
              </w:rPr>
              <w:t>adoptarea</w:t>
            </w:r>
            <w:r w:rsidRPr="006C3081">
              <w:rPr>
                <w:rFonts w:eastAsia="Arial Unicode MS"/>
                <w:color w:val="000000"/>
                <w:szCs w:val="24"/>
                <w:lang w:val="ro-RO" w:bidi="en-US"/>
              </w:rPr>
              <w:t xml:space="preserve"> H</w:t>
            </w:r>
            <w:r>
              <w:rPr>
                <w:rFonts w:eastAsia="Arial Unicode MS"/>
                <w:color w:val="000000"/>
                <w:szCs w:val="24"/>
                <w:lang w:val="ro-RO" w:bidi="en-US"/>
              </w:rPr>
              <w:t xml:space="preserve">otărârii </w:t>
            </w:r>
            <w:r w:rsidRPr="006C3081">
              <w:rPr>
                <w:rFonts w:eastAsia="Arial Unicode MS"/>
                <w:color w:val="000000"/>
                <w:szCs w:val="24"/>
                <w:lang w:val="ro-RO" w:bidi="en-US"/>
              </w:rPr>
              <w:t>G</w:t>
            </w:r>
            <w:r>
              <w:rPr>
                <w:rFonts w:eastAsia="Arial Unicode MS"/>
                <w:color w:val="000000"/>
                <w:szCs w:val="24"/>
                <w:lang w:val="ro-RO" w:bidi="en-US"/>
              </w:rPr>
              <w:t>uvernului</w:t>
            </w:r>
            <w:r w:rsidRPr="006C3081">
              <w:rPr>
                <w:rFonts w:eastAsia="Times New Roman"/>
                <w:color w:val="000000"/>
                <w:szCs w:val="24"/>
                <w:shd w:val="clear" w:color="auto" w:fill="FFFFFF"/>
                <w:lang w:val="ro-RO"/>
              </w:rPr>
              <w:t xml:space="preserve"> nr.886/2023 pentru actualizarea planurilor de management al riscului la </w:t>
            </w:r>
            <w:proofErr w:type="spellStart"/>
            <w:r w:rsidRPr="006C3081">
              <w:rPr>
                <w:rFonts w:eastAsia="Times New Roman"/>
                <w:color w:val="000000"/>
                <w:szCs w:val="24"/>
                <w:shd w:val="clear" w:color="auto" w:fill="FFFFFF"/>
                <w:lang w:val="ro-RO"/>
              </w:rPr>
              <w:t>inundaţii</w:t>
            </w:r>
            <w:proofErr w:type="spellEnd"/>
            <w:r w:rsidRPr="006C3081">
              <w:rPr>
                <w:rFonts w:eastAsia="Times New Roman"/>
                <w:color w:val="000000"/>
                <w:szCs w:val="24"/>
                <w:shd w:val="clear" w:color="auto" w:fill="FFFFFF"/>
                <w:lang w:val="ro-RO"/>
              </w:rPr>
              <w:t xml:space="preserve"> aferente celor 11 </w:t>
            </w:r>
            <w:proofErr w:type="spellStart"/>
            <w:r w:rsidRPr="006C3081">
              <w:rPr>
                <w:rFonts w:eastAsia="Times New Roman"/>
                <w:color w:val="000000"/>
                <w:szCs w:val="24"/>
                <w:shd w:val="clear" w:color="auto" w:fill="FFFFFF"/>
                <w:lang w:val="ro-RO"/>
              </w:rPr>
              <w:t>administraţii</w:t>
            </w:r>
            <w:proofErr w:type="spellEnd"/>
            <w:r w:rsidRPr="006C3081">
              <w:rPr>
                <w:rFonts w:eastAsia="Times New Roman"/>
                <w:color w:val="000000"/>
                <w:szCs w:val="24"/>
                <w:shd w:val="clear" w:color="auto" w:fill="FFFFFF"/>
                <w:lang w:val="ro-RO"/>
              </w:rPr>
              <w:t xml:space="preserve"> </w:t>
            </w:r>
            <w:proofErr w:type="spellStart"/>
            <w:r w:rsidRPr="006C3081">
              <w:rPr>
                <w:rFonts w:eastAsia="Times New Roman"/>
                <w:color w:val="000000"/>
                <w:szCs w:val="24"/>
                <w:shd w:val="clear" w:color="auto" w:fill="FFFFFF"/>
                <w:lang w:val="ro-RO"/>
              </w:rPr>
              <w:t>bazinale</w:t>
            </w:r>
            <w:proofErr w:type="spellEnd"/>
            <w:r w:rsidRPr="006C3081">
              <w:rPr>
                <w:rFonts w:eastAsia="Times New Roman"/>
                <w:color w:val="000000"/>
                <w:szCs w:val="24"/>
                <w:shd w:val="clear" w:color="auto" w:fill="FFFFFF"/>
                <w:lang w:val="ro-RO"/>
              </w:rPr>
              <w:t xml:space="preserve"> de apă </w:t>
            </w:r>
            <w:proofErr w:type="spellStart"/>
            <w:r w:rsidRPr="006C3081">
              <w:rPr>
                <w:rFonts w:eastAsia="Times New Roman"/>
                <w:color w:val="000000"/>
                <w:szCs w:val="24"/>
                <w:shd w:val="clear" w:color="auto" w:fill="FFFFFF"/>
                <w:lang w:val="ro-RO"/>
              </w:rPr>
              <w:t>şi</w:t>
            </w:r>
            <w:proofErr w:type="spellEnd"/>
            <w:r w:rsidRPr="006C3081">
              <w:rPr>
                <w:rFonts w:eastAsia="Times New Roman"/>
                <w:color w:val="000000"/>
                <w:szCs w:val="24"/>
                <w:shd w:val="clear" w:color="auto" w:fill="FFFFFF"/>
                <w:lang w:val="ro-RO"/>
              </w:rPr>
              <w:t xml:space="preserve"> fluviului Dunărea de pe teritoriul României,</w:t>
            </w:r>
            <w:r w:rsidR="00930620">
              <w:rPr>
                <w:rFonts w:eastAsia="Times New Roman"/>
                <w:color w:val="000000"/>
                <w:szCs w:val="24"/>
                <w:shd w:val="clear" w:color="auto" w:fill="FFFFFF"/>
                <w:lang w:val="ro-RO"/>
              </w:rPr>
              <w:t xml:space="preserve"> </w:t>
            </w:r>
            <w:r w:rsidRPr="006C3081">
              <w:rPr>
                <w:rFonts w:eastAsia="Times New Roman"/>
                <w:color w:val="000000"/>
                <w:szCs w:val="24"/>
                <w:shd w:val="clear" w:color="auto" w:fill="FFFFFF"/>
                <w:lang w:val="ro-RO"/>
              </w:rPr>
              <w:t>aprobate prin Hotărârea Guvernului nr.972/2016.</w:t>
            </w:r>
            <w:r w:rsidRPr="006C3081">
              <w:rPr>
                <w:rFonts w:eastAsia="Times New Roman"/>
                <w:color w:val="000000"/>
                <w:szCs w:val="24"/>
                <w:lang w:val="ro-RO"/>
              </w:rPr>
              <w:br/>
            </w:r>
          </w:p>
          <w:p w14:paraId="1E157BBE" w14:textId="6743955B"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lastRenderedPageBreak/>
              <w:t xml:space="preserve">Obiectivul general al </w:t>
            </w:r>
            <w:r w:rsidR="00930620" w:rsidRPr="006C3081">
              <w:rPr>
                <w:rFonts w:eastAsia="Arial Unicode MS"/>
                <w:color w:val="000000"/>
                <w:szCs w:val="24"/>
                <w:lang w:val="ro-RO" w:bidi="en-US"/>
              </w:rPr>
              <w:t xml:space="preserve">Strategiei </w:t>
            </w:r>
            <w:proofErr w:type="spellStart"/>
            <w:r w:rsidR="00930620" w:rsidRPr="006C3081">
              <w:rPr>
                <w:rFonts w:eastAsia="Arial Unicode MS"/>
                <w:color w:val="000000"/>
                <w:szCs w:val="24"/>
                <w:lang w:val="ro-RO" w:bidi="en-US"/>
              </w:rPr>
              <w:t>naţionale</w:t>
            </w:r>
            <w:proofErr w:type="spellEnd"/>
            <w:r w:rsidR="00930620" w:rsidRPr="006C3081">
              <w:rPr>
                <w:rFonts w:eastAsia="Arial Unicode MS"/>
                <w:color w:val="000000"/>
                <w:szCs w:val="24"/>
                <w:lang w:val="ro-RO" w:bidi="en-US"/>
              </w:rPr>
              <w:t xml:space="preserve"> de management al riscului la </w:t>
            </w:r>
            <w:proofErr w:type="spellStart"/>
            <w:r w:rsidR="00930620" w:rsidRPr="006C3081">
              <w:rPr>
                <w:rFonts w:eastAsia="Arial Unicode MS"/>
                <w:color w:val="000000"/>
                <w:szCs w:val="24"/>
                <w:lang w:val="ro-RO" w:bidi="en-US"/>
              </w:rPr>
              <w:t>inundaţii</w:t>
            </w:r>
            <w:proofErr w:type="spellEnd"/>
            <w:r w:rsidR="00930620" w:rsidRPr="006C3081">
              <w:rPr>
                <w:rFonts w:eastAsia="Arial Unicode MS"/>
                <w:color w:val="000000"/>
                <w:szCs w:val="24"/>
                <w:lang w:val="ro-RO" w:bidi="en-US"/>
              </w:rPr>
              <w:t xml:space="preserve"> pe termen mediu </w:t>
            </w:r>
            <w:proofErr w:type="spellStart"/>
            <w:r w:rsidR="00930620" w:rsidRPr="006C3081">
              <w:rPr>
                <w:rFonts w:eastAsia="Arial Unicode MS"/>
                <w:color w:val="000000"/>
                <w:szCs w:val="24"/>
                <w:lang w:val="ro-RO" w:bidi="en-US"/>
              </w:rPr>
              <w:t>şi</w:t>
            </w:r>
            <w:proofErr w:type="spellEnd"/>
            <w:r w:rsidR="00930620" w:rsidRPr="006C3081">
              <w:rPr>
                <w:rFonts w:eastAsia="Arial Unicode MS"/>
                <w:color w:val="000000"/>
                <w:szCs w:val="24"/>
                <w:lang w:val="ro-RO" w:bidi="en-US"/>
              </w:rPr>
              <w:t xml:space="preserve"> lung </w:t>
            </w:r>
            <w:r w:rsidR="00930620">
              <w:rPr>
                <w:rFonts w:eastAsia="Arial Unicode MS"/>
                <w:color w:val="000000"/>
                <w:szCs w:val="24"/>
                <w:lang w:val="ro-RO" w:bidi="en-US"/>
              </w:rPr>
              <w:t xml:space="preserve">(SNMRI) </w:t>
            </w:r>
            <w:r w:rsidRPr="006C3081">
              <w:rPr>
                <w:rFonts w:eastAsia="Arial Unicode MS"/>
                <w:color w:val="000000"/>
                <w:szCs w:val="24"/>
                <w:lang w:val="ro-RO" w:bidi="en-US"/>
              </w:rPr>
              <w:t xml:space="preserve">îl constituie fundamentarea și sprijinirea măsurilor de implementare ce vizează adaptarea structurilor, optimizarea proceselor și pregătirea resurselor umane necesare îndeplinirii obligațiilor asumate prin Legea nr.107/1996, cu modificările și completările ulterioare, a Hotărârii Guvernului nr.846/2010, a </w:t>
            </w:r>
            <w:proofErr w:type="spellStart"/>
            <w:r w:rsidRPr="006C3081">
              <w:rPr>
                <w:rFonts w:eastAsia="Arial Unicode MS"/>
                <w:color w:val="000000"/>
                <w:szCs w:val="24"/>
                <w:lang w:val="ro-RO" w:bidi="en-US"/>
              </w:rPr>
              <w:t>Hotărării</w:t>
            </w:r>
            <w:proofErr w:type="spellEnd"/>
            <w:r w:rsidRPr="006C3081">
              <w:rPr>
                <w:rFonts w:eastAsia="Arial Unicode MS"/>
                <w:color w:val="000000"/>
                <w:szCs w:val="24"/>
                <w:lang w:val="ro-RO" w:bidi="en-US"/>
              </w:rPr>
              <w:t xml:space="preserve"> </w:t>
            </w:r>
            <w:r w:rsidR="00930620">
              <w:rPr>
                <w:rFonts w:eastAsia="Arial Unicode MS"/>
                <w:color w:val="000000"/>
                <w:szCs w:val="24"/>
                <w:lang w:val="ro-RO" w:bidi="en-US"/>
              </w:rPr>
              <w:t xml:space="preserve">Guvernului </w:t>
            </w:r>
            <w:r w:rsidRPr="006C3081">
              <w:rPr>
                <w:rFonts w:eastAsia="Arial Unicode MS"/>
                <w:color w:val="000000"/>
                <w:szCs w:val="24"/>
                <w:lang w:val="ro-RO" w:bidi="en-US"/>
              </w:rPr>
              <w:t xml:space="preserve">nr. 886/2023, precum și conformarea cu cerințele </w:t>
            </w:r>
            <w:r w:rsidR="00930620" w:rsidRPr="007A7D7B">
              <w:rPr>
                <w:rFonts w:eastAsia="Arial Unicode MS"/>
                <w:bCs/>
                <w:color w:val="000000"/>
                <w:szCs w:val="24"/>
                <w:lang w:val="ro-RO" w:bidi="en-US"/>
              </w:rPr>
              <w:t xml:space="preserve">Directivei 2007/60/CE </w:t>
            </w:r>
            <w:r w:rsidR="00930620" w:rsidRPr="00AB3529">
              <w:rPr>
                <w:rFonts w:eastAsia="Arial Unicode MS"/>
                <w:bCs/>
                <w:color w:val="000000"/>
                <w:szCs w:val="24"/>
                <w:lang w:val="ro-RO" w:bidi="en-US"/>
              </w:rPr>
              <w:t>a Parlamentului European și a Consiliului din 23 octombrie 2007</w:t>
            </w:r>
            <w:r w:rsidRPr="006C3081">
              <w:rPr>
                <w:rFonts w:eastAsia="Arial Unicode MS"/>
                <w:color w:val="000000"/>
                <w:szCs w:val="24"/>
                <w:lang w:val="ro-RO" w:bidi="en-US"/>
              </w:rPr>
              <w:t>, în scopul consolidării capacitații autorităților și instituțiilor publice din domeniul gospodăririi apelor și al managementului riscului la inundații.</w:t>
            </w:r>
          </w:p>
          <w:p w14:paraId="3938E5FD" w14:textId="26C5B61A"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Printre rezultatele și indicatorii SNMRI revizuită se află și identificarea nevoilor de optimizare a cadrului legal și instituțional prin stabilirea suprapunerilor legislative și a lipsurilor în domeniul managementului riscurilor, în vederea clarificării rolurilor și competențelor autorităților publice centrale și locale în managementul riscurilor la inundații.</w:t>
            </w:r>
          </w:p>
          <w:p w14:paraId="56DBFD11" w14:textId="0617ED39" w:rsidR="00AB3529" w:rsidRPr="006C3081" w:rsidRDefault="00AB3529" w:rsidP="00AB3529">
            <w:pPr>
              <w:widowControl w:val="0"/>
              <w:ind w:left="90" w:right="150"/>
              <w:outlineLvl w:val="1"/>
              <w:rPr>
                <w:rFonts w:eastAsia="Arial Unicode MS"/>
                <w:bCs/>
                <w:color w:val="000000"/>
                <w:szCs w:val="24"/>
                <w:lang w:val="ro-RO" w:bidi="en-US"/>
              </w:rPr>
            </w:pPr>
            <w:r w:rsidRPr="006C3081">
              <w:rPr>
                <w:rFonts w:eastAsia="Arial Unicode MS"/>
                <w:bCs/>
                <w:color w:val="000000"/>
                <w:szCs w:val="24"/>
                <w:lang w:val="ro-RO" w:bidi="en-US"/>
              </w:rPr>
              <w:t xml:space="preserve">     </w:t>
            </w:r>
            <w:r w:rsidRPr="006C3081">
              <w:rPr>
                <w:rFonts w:eastAsia="Arial Unicode MS"/>
                <w:color w:val="000000"/>
                <w:szCs w:val="24"/>
                <w:lang w:val="ro-RO" w:bidi="en-US"/>
              </w:rPr>
              <w:t>Obiectivele specifice ale SNMRI</w:t>
            </w:r>
            <w:r w:rsidRPr="006C3081">
              <w:rPr>
                <w:rFonts w:eastAsia="Arial Unicode MS"/>
                <w:bCs/>
                <w:color w:val="000000"/>
                <w:szCs w:val="24"/>
                <w:lang w:val="ro-RO" w:bidi="en-US"/>
              </w:rPr>
              <w:t xml:space="preserve"> sunt :</w:t>
            </w:r>
          </w:p>
          <w:p w14:paraId="50884D11" w14:textId="5F2EB2D5"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1.</w:t>
            </w:r>
            <w:r w:rsidRPr="006C3081">
              <w:rPr>
                <w:rFonts w:eastAsia="Arial Unicode MS"/>
                <w:color w:val="000000"/>
                <w:szCs w:val="24"/>
                <w:lang w:val="ro-RO" w:bidi="en-US"/>
              </w:rPr>
              <w:tab/>
            </w:r>
            <w:r w:rsidR="00930620">
              <w:rPr>
                <w:rFonts w:eastAsia="Arial Unicode MS"/>
                <w:color w:val="000000"/>
                <w:szCs w:val="24"/>
                <w:lang w:val="ro-RO" w:bidi="en-US"/>
              </w:rPr>
              <w:t>e</w:t>
            </w:r>
            <w:r w:rsidRPr="006C3081">
              <w:rPr>
                <w:rFonts w:eastAsia="Arial Unicode MS"/>
                <w:color w:val="000000"/>
                <w:szCs w:val="24"/>
                <w:lang w:val="ro-RO" w:bidi="en-US"/>
              </w:rPr>
              <w:t>laborarea unui document strategic care presupune revizuirea și reactualizarea Strategiei naționale de management al riscului la inundații pe termen mediu și lung, prin adaptarea legislativă la cerințele instituționale actuale și la unele metodologii noi.</w:t>
            </w:r>
          </w:p>
          <w:p w14:paraId="1801617D" w14:textId="22208F3A"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2.</w:t>
            </w:r>
            <w:r w:rsidRPr="006C3081">
              <w:rPr>
                <w:rFonts w:eastAsia="Arial Unicode MS"/>
                <w:color w:val="000000"/>
                <w:szCs w:val="24"/>
                <w:lang w:val="ro-RO" w:bidi="en-US"/>
              </w:rPr>
              <w:tab/>
            </w:r>
            <w:r w:rsidR="00930620">
              <w:rPr>
                <w:rFonts w:eastAsia="Arial Unicode MS"/>
                <w:color w:val="000000"/>
                <w:szCs w:val="24"/>
                <w:lang w:val="ro-RO" w:bidi="en-US"/>
              </w:rPr>
              <w:t>r</w:t>
            </w:r>
            <w:r w:rsidRPr="006C3081">
              <w:rPr>
                <w:rFonts w:eastAsia="Arial Unicode MS"/>
                <w:color w:val="000000"/>
                <w:szCs w:val="24"/>
                <w:lang w:val="ro-RO" w:bidi="en-US"/>
              </w:rPr>
              <w:t xml:space="preserve">evizuirea și reactualizarea Planului de acțiune pentru implementarea Strategiei naționale de management al riscului la inundații pe termen mediu și lung, prin luarea în considerare a măsurilor și acțiunilor întreprinse în perioada 2010-2021. </w:t>
            </w:r>
          </w:p>
          <w:p w14:paraId="0805C9DC" w14:textId="25B71DF7"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3.</w:t>
            </w:r>
            <w:r w:rsidRPr="006C3081">
              <w:rPr>
                <w:rFonts w:eastAsia="Arial Unicode MS"/>
                <w:color w:val="000000"/>
                <w:szCs w:val="24"/>
                <w:lang w:val="ro-RO" w:bidi="en-US"/>
              </w:rPr>
              <w:tab/>
            </w:r>
            <w:r w:rsidR="00930620">
              <w:rPr>
                <w:rFonts w:eastAsia="Arial Unicode MS"/>
                <w:color w:val="000000"/>
                <w:szCs w:val="24"/>
                <w:lang w:val="ro-RO" w:bidi="en-US"/>
              </w:rPr>
              <w:t>i</w:t>
            </w:r>
            <w:r w:rsidRPr="006C3081">
              <w:rPr>
                <w:rFonts w:eastAsia="Arial Unicode MS"/>
                <w:color w:val="000000"/>
                <w:szCs w:val="24"/>
                <w:lang w:val="ro-RO" w:bidi="en-US"/>
              </w:rPr>
              <w:t>dentificarea și stabilirea concretă a responsabilităților, măsurilor și acțiunilor care trebuie întreprinse la nivelul fiecărei instituții cu responsabilități în domeniu, în vederea implementării Strategiei naționale de management al riscului la inundații pe termen mediu și lung, pentru perioada 2022 - 2035.</w:t>
            </w:r>
          </w:p>
          <w:p w14:paraId="611DC168" w14:textId="09B912C6"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4.</w:t>
            </w:r>
            <w:r w:rsidRPr="006C3081">
              <w:rPr>
                <w:rFonts w:eastAsia="Arial Unicode MS"/>
                <w:color w:val="000000"/>
                <w:szCs w:val="24"/>
                <w:lang w:val="ro-RO" w:bidi="en-US"/>
              </w:rPr>
              <w:tab/>
            </w:r>
            <w:r w:rsidR="00930620">
              <w:rPr>
                <w:rFonts w:eastAsia="Arial Unicode MS"/>
                <w:color w:val="000000"/>
                <w:szCs w:val="24"/>
                <w:lang w:val="ro-RO" w:bidi="en-US"/>
              </w:rPr>
              <w:t>p</w:t>
            </w:r>
            <w:r w:rsidRPr="006C3081">
              <w:rPr>
                <w:rFonts w:eastAsia="Arial Unicode MS"/>
                <w:color w:val="000000"/>
                <w:szCs w:val="24"/>
                <w:lang w:val="ro-RO" w:bidi="en-US"/>
              </w:rPr>
              <w:t>ropunerea unui sistem/cadru instituțional privind monitorizarea și evaluarea implementării politicilor și strategiilor prin proceduri și mecanisme din domeniul managementului riscului la inundații, aplicabile tuturor instituțiilor de la nivel central și local, cu atribuții în managementul riscului la inundații.</w:t>
            </w:r>
          </w:p>
          <w:p w14:paraId="4D918D5E" w14:textId="0B1BE86F" w:rsidR="00AB3529" w:rsidRPr="006C3081" w:rsidRDefault="00AB3529" w:rsidP="00AB3529">
            <w:pPr>
              <w:widowControl w:val="0"/>
              <w:ind w:left="90" w:right="150"/>
              <w:outlineLvl w:val="1"/>
              <w:rPr>
                <w:rFonts w:eastAsia="Arial Unicode MS"/>
                <w:color w:val="000000"/>
                <w:szCs w:val="24"/>
                <w:lang w:val="ro-RO" w:bidi="en-US"/>
              </w:rPr>
            </w:pPr>
            <w:r w:rsidRPr="006C3081">
              <w:rPr>
                <w:rFonts w:eastAsia="Arial Unicode MS"/>
                <w:color w:val="000000"/>
                <w:szCs w:val="24"/>
                <w:lang w:val="ro-RO" w:bidi="en-US"/>
              </w:rPr>
              <w:t>5.</w:t>
            </w:r>
            <w:r w:rsidRPr="006C3081">
              <w:rPr>
                <w:rFonts w:eastAsia="Arial Unicode MS"/>
                <w:color w:val="000000"/>
                <w:szCs w:val="24"/>
                <w:lang w:val="ro-RO" w:bidi="en-US"/>
              </w:rPr>
              <w:tab/>
            </w:r>
            <w:r w:rsidR="00930620">
              <w:rPr>
                <w:rFonts w:eastAsia="Arial Unicode MS"/>
                <w:color w:val="000000"/>
                <w:szCs w:val="24"/>
                <w:lang w:val="ro-RO" w:bidi="en-US"/>
              </w:rPr>
              <w:t>d</w:t>
            </w:r>
            <w:r w:rsidRPr="006C3081">
              <w:rPr>
                <w:rFonts w:eastAsia="Arial Unicode MS"/>
                <w:color w:val="000000"/>
                <w:szCs w:val="24"/>
                <w:lang w:val="ro-RO" w:bidi="en-US"/>
              </w:rPr>
              <w:t xml:space="preserve">ezvoltarea, la nivelul Ministerului Mediului, Apelor și Pădurilor și al Administrației Naționale </w:t>
            </w:r>
            <w:r w:rsidR="00930620">
              <w:rPr>
                <w:rFonts w:eastAsia="Arial Unicode MS"/>
                <w:color w:val="000000"/>
                <w:szCs w:val="24"/>
                <w:lang w:val="ro-RO" w:bidi="en-US"/>
              </w:rPr>
              <w:t>„</w:t>
            </w:r>
            <w:r w:rsidRPr="006C3081">
              <w:rPr>
                <w:rFonts w:eastAsia="Arial Unicode MS"/>
                <w:color w:val="000000"/>
                <w:szCs w:val="24"/>
                <w:lang w:val="ro-RO" w:bidi="en-US"/>
              </w:rPr>
              <w:t>Apele Române” a unui sistem/mecanism de monitorizare și raportare a implementării măsurilor și acțiunilor prevăzute în Planul de acțiune pentru implementarea Strategiei naționale de management al riscului la inundații pe termen mediu si lung, pentru perioada 2022 – 2035.</w:t>
            </w:r>
          </w:p>
          <w:p w14:paraId="63E94023" w14:textId="3E00EC59" w:rsidR="00AB3529" w:rsidRPr="006C3081" w:rsidRDefault="00AB3529" w:rsidP="00AB3529">
            <w:pPr>
              <w:spacing w:before="120" w:after="120"/>
              <w:ind w:left="90" w:right="150"/>
              <w:rPr>
                <w:color w:val="000000"/>
                <w:szCs w:val="24"/>
                <w:lang w:val="ro-RO"/>
              </w:rPr>
            </w:pPr>
            <w:r w:rsidRPr="006C3081">
              <w:rPr>
                <w:color w:val="000000"/>
                <w:szCs w:val="24"/>
                <w:lang w:val="ro-RO"/>
              </w:rPr>
              <w:t>Există o serie de considerente care impun reactualizarea Strategiei și aprobarea unui nou document strategic în managementul integrat al apelor, pe termen mediu și lung:</w:t>
            </w:r>
          </w:p>
          <w:p w14:paraId="064E7BA0" w14:textId="464D756F" w:rsidR="00AB3529" w:rsidRPr="006C3081" w:rsidRDefault="00AB3529" w:rsidP="00AB3529">
            <w:pPr>
              <w:spacing w:before="120" w:after="120"/>
              <w:ind w:left="90" w:right="150"/>
              <w:rPr>
                <w:color w:val="000000"/>
                <w:szCs w:val="24"/>
                <w:lang w:val="ro-RO"/>
              </w:rPr>
            </w:pPr>
            <w:r w:rsidRPr="006C3081">
              <w:rPr>
                <w:color w:val="000000"/>
                <w:szCs w:val="24"/>
                <w:lang w:val="ro-RO"/>
              </w:rPr>
              <w:t>•</w:t>
            </w:r>
            <w:r w:rsidRPr="006C3081">
              <w:rPr>
                <w:color w:val="000000"/>
                <w:szCs w:val="24"/>
                <w:lang w:val="ro-RO"/>
              </w:rPr>
              <w:tab/>
            </w:r>
            <w:r w:rsidR="00930620">
              <w:rPr>
                <w:color w:val="000000"/>
                <w:szCs w:val="24"/>
                <w:lang w:val="ro-RO"/>
              </w:rPr>
              <w:t>e</w:t>
            </w:r>
            <w:r w:rsidRPr="006C3081">
              <w:rPr>
                <w:color w:val="000000"/>
                <w:szCs w:val="24"/>
                <w:lang w:val="ro-RO"/>
              </w:rPr>
              <w:t xml:space="preserve">voluția și tendințele în producerea fenomenului de inundații și, mai ales, consecințele acestui fenomen, cât și schimbările din mediul înconjurător care au avut loc în ultimii 10 - 20 de ani, impun schimbări în modul de abordare a problemei apărării împotriva inundațiilor, trecând de la formele defensive de acțiune la cele de management al riscului la inundații, de la abordările clasice </w:t>
            </w:r>
            <w:r w:rsidRPr="006C3081">
              <w:rPr>
                <w:color w:val="000000"/>
                <w:szCs w:val="24"/>
                <w:lang w:val="ro-RO"/>
              </w:rPr>
              <w:lastRenderedPageBreak/>
              <w:t>tradiționale la măsurile nestructurale și, în special a celor bazate pe Procese Naturale, parte componentă a infrastructurii verzi;</w:t>
            </w:r>
          </w:p>
          <w:p w14:paraId="0BE954BD" w14:textId="0D53462A" w:rsidR="00AB3529" w:rsidRPr="006C3081" w:rsidRDefault="00AB3529" w:rsidP="00AB3529">
            <w:pPr>
              <w:spacing w:before="120" w:after="120"/>
              <w:ind w:left="90" w:right="150"/>
              <w:rPr>
                <w:color w:val="000000"/>
                <w:szCs w:val="24"/>
                <w:lang w:val="ro-RO"/>
              </w:rPr>
            </w:pPr>
            <w:r w:rsidRPr="006C3081">
              <w:rPr>
                <w:color w:val="000000"/>
                <w:szCs w:val="24"/>
                <w:lang w:val="ro-RO"/>
              </w:rPr>
              <w:t>•</w:t>
            </w:r>
            <w:r w:rsidRPr="006C3081">
              <w:rPr>
                <w:color w:val="000000"/>
                <w:szCs w:val="24"/>
                <w:lang w:val="ro-RO"/>
              </w:rPr>
              <w:tab/>
              <w:t xml:space="preserve">Strategia nu mai este aliniată în totalitate modificărilor legislative și administrative care au intervenit după 2010. Actele normative </w:t>
            </w:r>
            <w:r w:rsidR="00930620">
              <w:rPr>
                <w:color w:val="000000"/>
                <w:szCs w:val="24"/>
                <w:lang w:val="ro-RO"/>
              </w:rPr>
              <w:t>adoptate</w:t>
            </w:r>
            <w:r w:rsidRPr="006C3081">
              <w:rPr>
                <w:color w:val="000000"/>
                <w:szCs w:val="24"/>
                <w:lang w:val="ro-RO"/>
              </w:rPr>
              <w:t xml:space="preserve"> ulterior aprobării </w:t>
            </w:r>
            <w:r w:rsidR="00930620" w:rsidRPr="006C3081">
              <w:rPr>
                <w:color w:val="000000"/>
                <w:szCs w:val="24"/>
                <w:lang w:val="ro-RO"/>
              </w:rPr>
              <w:t>Strategiei Naționale de Management al Riscului la Inundații pe termen mediu și lung</w:t>
            </w:r>
            <w:r w:rsidR="00930620">
              <w:rPr>
                <w:color w:val="000000"/>
                <w:szCs w:val="24"/>
                <w:lang w:val="ro-RO"/>
              </w:rPr>
              <w:t>,</w:t>
            </w:r>
            <w:r w:rsidR="00930620" w:rsidRPr="006C3081">
              <w:rPr>
                <w:color w:val="000000"/>
                <w:szCs w:val="24"/>
                <w:lang w:val="ro-RO"/>
              </w:rPr>
              <w:t xml:space="preserve"> </w:t>
            </w:r>
            <w:r w:rsidRPr="006C3081">
              <w:rPr>
                <w:color w:val="000000"/>
                <w:szCs w:val="24"/>
                <w:lang w:val="ro-RO"/>
              </w:rPr>
              <w:t xml:space="preserve">prin Hotărârea Guvernului nr. 846/2010, impun o revizuire a acesteia, în concordanță cu prevederile legale în vigoare, între care amintim </w:t>
            </w:r>
            <w:r w:rsidR="00930620">
              <w:rPr>
                <w:color w:val="000000"/>
                <w:szCs w:val="24"/>
                <w:lang w:val="ro-RO"/>
              </w:rPr>
              <w:t>Ordonanța de urgență a Guvernului</w:t>
            </w:r>
            <w:r w:rsidRPr="006C3081">
              <w:rPr>
                <w:color w:val="000000"/>
                <w:szCs w:val="24"/>
                <w:lang w:val="ro-RO"/>
              </w:rPr>
              <w:t xml:space="preserve"> nr.21/2004, </w:t>
            </w:r>
            <w:r w:rsidR="00930620" w:rsidRPr="00AB3529">
              <w:rPr>
                <w:bCs/>
                <w:iCs/>
                <w:lang w:val="ro-RO"/>
              </w:rPr>
              <w:t xml:space="preserve">aprobată cu modificări și completări prin Legea nr. 15/2005, </w:t>
            </w:r>
            <w:r w:rsidR="00930620" w:rsidRPr="007A7D7B">
              <w:rPr>
                <w:bCs/>
                <w:iCs/>
                <w:lang w:val="ro-RO"/>
              </w:rPr>
              <w:t>cu modificările și completările ulterioare</w:t>
            </w:r>
            <w:r w:rsidRPr="006C3081">
              <w:rPr>
                <w:color w:val="000000"/>
                <w:szCs w:val="24"/>
                <w:lang w:val="ro-RO"/>
              </w:rPr>
              <w:t>, Hotărârea Guvernului nr. 557/2016 și Hotărârea Guvernului  nr. 94/2014, cu modificările și completările ulterioare.</w:t>
            </w:r>
          </w:p>
          <w:p w14:paraId="11647F33" w14:textId="399D85F5" w:rsidR="00AB3529" w:rsidRPr="006C3081" w:rsidRDefault="00AB3529" w:rsidP="00AB3529">
            <w:pPr>
              <w:spacing w:before="120" w:after="120"/>
              <w:ind w:left="90" w:right="150"/>
              <w:rPr>
                <w:color w:val="000000"/>
                <w:szCs w:val="24"/>
                <w:lang w:val="ro-RO"/>
              </w:rPr>
            </w:pPr>
            <w:r w:rsidRPr="006C3081">
              <w:rPr>
                <w:color w:val="000000"/>
                <w:szCs w:val="24"/>
                <w:lang w:val="ro-RO"/>
              </w:rPr>
              <w:t>•</w:t>
            </w:r>
            <w:r w:rsidRPr="006C3081">
              <w:rPr>
                <w:color w:val="000000"/>
                <w:szCs w:val="24"/>
                <w:lang w:val="ro-RO"/>
              </w:rPr>
              <w:tab/>
              <w:t xml:space="preserve">Planurile de </w:t>
            </w:r>
            <w:r w:rsidR="00930620" w:rsidRPr="006C3081">
              <w:rPr>
                <w:color w:val="000000"/>
                <w:szCs w:val="24"/>
                <w:lang w:val="ro-RO"/>
              </w:rPr>
              <w:t xml:space="preserve">management al riscului la inundații </w:t>
            </w:r>
            <w:r w:rsidRPr="006C3081">
              <w:rPr>
                <w:color w:val="000000"/>
                <w:szCs w:val="24"/>
                <w:lang w:val="ro-RO"/>
              </w:rPr>
              <w:t>(P.M.R.I.)</w:t>
            </w:r>
            <w:r w:rsidR="00930620">
              <w:rPr>
                <w:color w:val="000000"/>
                <w:szCs w:val="24"/>
                <w:lang w:val="ro-RO"/>
              </w:rPr>
              <w:t>, actualizate prin</w:t>
            </w:r>
            <w:r w:rsidRPr="006C3081">
              <w:rPr>
                <w:color w:val="000000"/>
                <w:szCs w:val="24"/>
                <w:lang w:val="ro-RO"/>
              </w:rPr>
              <w:t xml:space="preserve"> H</w:t>
            </w:r>
            <w:r w:rsidR="00930620">
              <w:rPr>
                <w:color w:val="000000"/>
                <w:szCs w:val="24"/>
                <w:lang w:val="ro-RO"/>
              </w:rPr>
              <w:t xml:space="preserve">otărârea </w:t>
            </w:r>
            <w:r w:rsidRPr="006C3081">
              <w:rPr>
                <w:color w:val="000000"/>
                <w:szCs w:val="24"/>
                <w:lang w:val="ro-RO"/>
              </w:rPr>
              <w:t>G</w:t>
            </w:r>
            <w:r w:rsidR="00930620">
              <w:rPr>
                <w:color w:val="000000"/>
                <w:szCs w:val="24"/>
                <w:lang w:val="ro-RO"/>
              </w:rPr>
              <w:t>uvernului</w:t>
            </w:r>
            <w:r w:rsidRPr="006C3081">
              <w:rPr>
                <w:color w:val="000000"/>
                <w:szCs w:val="24"/>
                <w:lang w:val="ro-RO"/>
              </w:rPr>
              <w:t xml:space="preserve"> nr. 972/2016</w:t>
            </w:r>
            <w:r w:rsidR="00930620">
              <w:rPr>
                <w:color w:val="000000"/>
                <w:szCs w:val="24"/>
                <w:lang w:val="ro-RO"/>
              </w:rPr>
              <w:t>,</w:t>
            </w:r>
            <w:r w:rsidRPr="006C3081">
              <w:rPr>
                <w:color w:val="000000"/>
                <w:szCs w:val="24"/>
                <w:lang w:val="ro-RO"/>
              </w:rPr>
              <w:t xml:space="preserve"> pentru orizontul de timp 2016-2021 au reprezentat o etapă către o schimbare în gândire și abordare. Cu toate acestea, în procesul de implementare a Directivei 2007/60/CE</w:t>
            </w:r>
            <w:r w:rsidR="00930620">
              <w:rPr>
                <w:color w:val="000000"/>
                <w:szCs w:val="24"/>
                <w:lang w:val="ro-RO"/>
              </w:rPr>
              <w:t xml:space="preserve"> </w:t>
            </w:r>
            <w:r w:rsidR="00930620" w:rsidRPr="00AB3529">
              <w:rPr>
                <w:rFonts w:eastAsia="Arial Unicode MS"/>
                <w:bCs/>
                <w:color w:val="000000"/>
                <w:szCs w:val="24"/>
                <w:lang w:val="ro-RO" w:bidi="en-US"/>
              </w:rPr>
              <w:t>a Parlamentului European și a Consiliului din 23 octombrie 2007</w:t>
            </w:r>
            <w:r w:rsidRPr="006C3081">
              <w:rPr>
                <w:color w:val="000000"/>
                <w:szCs w:val="24"/>
                <w:lang w:val="ro-RO"/>
              </w:rPr>
              <w:t xml:space="preserve"> – Ciclul I, au fost semnalate dificultăți în coordonarea interinstituțională și în identificarea, dar mai ales în implementarea măsurilor optime pentru reducerea riscului la inundații, în special pentru acelea care necesită mai multe instituții implicate. Referitor la gradul de îndeplinire a măsurilor prevăzute în Planul de Management al Riscului la Inundații (Ciclul I) - orizontul de timp 2021, se menționează că, niciuna din autoritățile care au propus măsuri concrete în P.M.R.I. nu au reușit să finalizeze toate lucrările, cu mențiunea că, </w:t>
            </w:r>
            <w:r w:rsidR="00930620" w:rsidRPr="006C3081">
              <w:rPr>
                <w:color w:val="000000"/>
                <w:szCs w:val="24"/>
                <w:lang w:val="ro-RO"/>
              </w:rPr>
              <w:t>Administrația Națională ,,Apele Române</w:t>
            </w:r>
            <w:r w:rsidR="00930620">
              <w:rPr>
                <w:color w:val="000000"/>
                <w:szCs w:val="24"/>
                <w:lang w:val="ro-RO"/>
              </w:rPr>
              <w:t>”</w:t>
            </w:r>
            <w:r w:rsidR="00220FB6">
              <w:rPr>
                <w:color w:val="000000"/>
                <w:szCs w:val="24"/>
                <w:lang w:val="ro-RO"/>
              </w:rPr>
              <w:t xml:space="preserve"> (A.N.A.R.)</w:t>
            </w:r>
            <w:r w:rsidRPr="006C3081">
              <w:rPr>
                <w:color w:val="000000"/>
                <w:szCs w:val="24"/>
                <w:lang w:val="ro-RO"/>
              </w:rPr>
              <w:t>/A</w:t>
            </w:r>
            <w:r w:rsidR="00220FB6">
              <w:rPr>
                <w:color w:val="000000"/>
                <w:szCs w:val="24"/>
                <w:lang w:val="ro-RO"/>
              </w:rPr>
              <w:t xml:space="preserve">dministrațiile </w:t>
            </w:r>
            <w:proofErr w:type="spellStart"/>
            <w:r w:rsidRPr="006C3081">
              <w:rPr>
                <w:color w:val="000000"/>
                <w:szCs w:val="24"/>
                <w:lang w:val="ro-RO"/>
              </w:rPr>
              <w:t>B</w:t>
            </w:r>
            <w:r w:rsidR="00220FB6">
              <w:rPr>
                <w:color w:val="000000"/>
                <w:szCs w:val="24"/>
                <w:lang w:val="ro-RO"/>
              </w:rPr>
              <w:t>azinale</w:t>
            </w:r>
            <w:proofErr w:type="spellEnd"/>
            <w:r w:rsidR="00220FB6">
              <w:rPr>
                <w:color w:val="000000"/>
                <w:szCs w:val="24"/>
                <w:lang w:val="ro-RO"/>
              </w:rPr>
              <w:t xml:space="preserve"> de </w:t>
            </w:r>
            <w:r w:rsidRPr="006C3081">
              <w:rPr>
                <w:color w:val="000000"/>
                <w:szCs w:val="24"/>
                <w:lang w:val="ro-RO"/>
              </w:rPr>
              <w:t>A</w:t>
            </w:r>
            <w:r w:rsidR="00220FB6">
              <w:rPr>
                <w:color w:val="000000"/>
                <w:szCs w:val="24"/>
                <w:lang w:val="ro-RO"/>
              </w:rPr>
              <w:t>pă</w:t>
            </w:r>
            <w:r w:rsidR="00220FB6" w:rsidRPr="006C3081">
              <w:rPr>
                <w:color w:val="000000"/>
                <w:szCs w:val="24"/>
                <w:lang w:val="ro-RO"/>
              </w:rPr>
              <w:t xml:space="preserve"> </w:t>
            </w:r>
            <w:r w:rsidR="00220FB6">
              <w:rPr>
                <w:color w:val="000000"/>
                <w:szCs w:val="24"/>
                <w:lang w:val="ro-RO"/>
              </w:rPr>
              <w:t>(</w:t>
            </w:r>
            <w:r w:rsidR="00220FB6" w:rsidRPr="006C3081">
              <w:rPr>
                <w:color w:val="000000"/>
                <w:szCs w:val="24"/>
                <w:lang w:val="ro-RO"/>
              </w:rPr>
              <w:t>A.B.A.</w:t>
            </w:r>
            <w:r w:rsidR="00220FB6">
              <w:rPr>
                <w:color w:val="000000"/>
                <w:szCs w:val="24"/>
                <w:lang w:val="ro-RO"/>
              </w:rPr>
              <w:t>)</w:t>
            </w:r>
            <w:r w:rsidRPr="006C3081">
              <w:rPr>
                <w:color w:val="000000"/>
                <w:szCs w:val="24"/>
                <w:lang w:val="ro-RO"/>
              </w:rPr>
              <w:t xml:space="preserve"> au peste 50% măsuri finalizate sau în curs de derulare din numărul total de măsuri propuse. Prin urmare, s-a identificat nevoia de optimizare a cadrului legal și instituțional prin stabilirea suprapunerilor legislative și a lipsurilor în domeniul managementului riscurilor la inundații, în vederea clarificării rolurilor și competențelor autorităților publice centrale și locale.</w:t>
            </w:r>
          </w:p>
          <w:p w14:paraId="57708544"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În perioada 2019 – 2023, în cadrul Programului Operațional Capacitate Administrativă, Ministerul Mediului, Apelor și Pădurilor, împreună cu Administrația Națională ,,Apele Române" au derulat proiectul ,,</w:t>
            </w:r>
            <w:r w:rsidRPr="00220FB6">
              <w:rPr>
                <w:i/>
                <w:iCs/>
                <w:color w:val="000000"/>
                <w:szCs w:val="24"/>
                <w:lang w:val="ro-RO"/>
              </w:rPr>
              <w:t xml:space="preserve">Întărirea capacității autorității publice centrale în domeniul managementului apelor în scopul implementării etapelor a 2-a și a 3-a ale Ciclului II al Directivei </w:t>
            </w:r>
            <w:proofErr w:type="spellStart"/>
            <w:r w:rsidRPr="00220FB6">
              <w:rPr>
                <w:i/>
                <w:iCs/>
                <w:color w:val="000000"/>
                <w:szCs w:val="24"/>
                <w:lang w:val="ro-RO"/>
              </w:rPr>
              <w:t>lnundații</w:t>
            </w:r>
            <w:proofErr w:type="spellEnd"/>
            <w:r w:rsidRPr="00220FB6">
              <w:rPr>
                <w:i/>
                <w:iCs/>
                <w:color w:val="000000"/>
                <w:szCs w:val="24"/>
                <w:lang w:val="ro-RO"/>
              </w:rPr>
              <w:t xml:space="preserve"> – RO-FLOODS</w:t>
            </w:r>
            <w:r w:rsidRPr="006C3081">
              <w:rPr>
                <w:color w:val="000000"/>
                <w:szCs w:val="24"/>
                <w:lang w:val="ro-RO"/>
              </w:rPr>
              <w:t>". Prin acest proiect, s-au identificat o serie de măsuri (integrate în P.M.R.I. Ciclul II) - clasificate în trei categorii: măsuri de reducere a riscului de inundații la nivel național (Categoria A); măsuri de reducere a riscului de inundații la nivelul A.B.A., prin prevenire și protecție (Categoria B); măsuri de reducere a riscului de inundații la nivelul A.B.A., prin pregătire și răspuns în caz de urgență (categoria C). Măsurile cuprinse în Planul de Acțiune al strategiei au fost corelate cu măsurile integrate în P.M.R.I. Ciclul II. Aceste măsuri odată implementate, vor îmbunătăți eficiența măsurilor propuse în cadrul P.M.R.I. Ciclul II.</w:t>
            </w:r>
          </w:p>
          <w:p w14:paraId="12B57552" w14:textId="0750E6EA"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 xml:space="preserve">În Ciclul II de implementare a Directivei </w:t>
            </w:r>
            <w:r w:rsidR="00220FB6" w:rsidRPr="006C3081">
              <w:rPr>
                <w:color w:val="000000"/>
                <w:szCs w:val="24"/>
                <w:lang w:val="ro-RO"/>
              </w:rPr>
              <w:t>2007/60/CE</w:t>
            </w:r>
            <w:r w:rsidR="00220FB6">
              <w:rPr>
                <w:color w:val="000000"/>
                <w:szCs w:val="24"/>
                <w:lang w:val="ro-RO"/>
              </w:rPr>
              <w:t xml:space="preserve"> </w:t>
            </w:r>
            <w:r w:rsidR="00220FB6" w:rsidRPr="00AB3529">
              <w:rPr>
                <w:rFonts w:eastAsia="Arial Unicode MS"/>
                <w:bCs/>
                <w:color w:val="000000"/>
                <w:szCs w:val="24"/>
                <w:lang w:val="ro-RO" w:bidi="en-US"/>
              </w:rPr>
              <w:t>a Parlamentului European și a Consiliului din 23 octombrie 2007</w:t>
            </w:r>
            <w:r w:rsidRPr="006C3081">
              <w:rPr>
                <w:color w:val="000000"/>
                <w:szCs w:val="24"/>
                <w:lang w:val="ro-RO"/>
              </w:rPr>
              <w:t xml:space="preserve">, pe </w:t>
            </w:r>
            <w:r w:rsidRPr="006C3081">
              <w:rPr>
                <w:color w:val="000000"/>
                <w:szCs w:val="24"/>
                <w:lang w:val="ro-RO"/>
              </w:rPr>
              <w:lastRenderedPageBreak/>
              <w:t xml:space="preserve">lângă responsabilitățile de realizare și raportare a evaluării preliminare a riscului la inundații, a hărților de hazard și risc revizuite și completate, precum și a Planurilor de </w:t>
            </w:r>
            <w:r w:rsidR="00220FB6" w:rsidRPr="006C3081">
              <w:rPr>
                <w:color w:val="000000"/>
                <w:szCs w:val="24"/>
                <w:lang w:val="ro-RO"/>
              </w:rPr>
              <w:t xml:space="preserve">management al riscului la inundații </w:t>
            </w:r>
            <w:r w:rsidRPr="006C3081">
              <w:rPr>
                <w:color w:val="000000"/>
                <w:szCs w:val="24"/>
                <w:lang w:val="ro-RO"/>
              </w:rPr>
              <w:t xml:space="preserve">este necesară asigurarea unei monitorizări corespunzătoare a implementării măsurilor tuturor instituțiilor implicate în gestionarea acestui tip de risc. Tot acest proces de revizuire este necesar și pentru îmbunătățirea coordonării procesului de implementare, monitorizare și raportare a prevederilor Strategiei </w:t>
            </w:r>
            <w:r w:rsidR="00220FB6" w:rsidRPr="006C3081">
              <w:rPr>
                <w:color w:val="000000"/>
                <w:szCs w:val="24"/>
                <w:lang w:val="ro-RO"/>
              </w:rPr>
              <w:t xml:space="preserve">naționale de management al riscului la inundații </w:t>
            </w:r>
            <w:r w:rsidRPr="006C3081">
              <w:rPr>
                <w:color w:val="000000"/>
                <w:szCs w:val="24"/>
                <w:lang w:val="ro-RO"/>
              </w:rPr>
              <w:t>pe termen mediu și lung, cu respectarea cerințelor și abordărilor existente la nivel european.</w:t>
            </w:r>
          </w:p>
          <w:p w14:paraId="566288AE"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Necesitatea abordării holistice a fenomenului de inundații, luându-se în considerare întregul bazin hidrografic; strategia în domeniul inundațiilor trebuie să promoveze o dezvoltare coordonată și o gestionare integrată a activităților privind apa, terenurile și resursele adiacente. Măsurile nestructurale (zonarea teritoriului, prognoza viiturilor și avertizarea în caz de inundații, managementul situațiilor de urgență și măsurile post-</w:t>
            </w:r>
            <w:proofErr w:type="spellStart"/>
            <w:r w:rsidRPr="006C3081">
              <w:rPr>
                <w:color w:val="000000"/>
                <w:szCs w:val="24"/>
                <w:lang w:val="ro-RO"/>
              </w:rPr>
              <w:t>inundaţie</w:t>
            </w:r>
            <w:proofErr w:type="spellEnd"/>
            <w:r w:rsidRPr="006C3081">
              <w:rPr>
                <w:color w:val="000000"/>
                <w:szCs w:val="24"/>
                <w:lang w:val="ro-RO"/>
              </w:rPr>
              <w:t xml:space="preserve">) pentru atenuarea efectului </w:t>
            </w:r>
            <w:proofErr w:type="spellStart"/>
            <w:r w:rsidRPr="006C3081">
              <w:rPr>
                <w:color w:val="000000"/>
                <w:szCs w:val="24"/>
                <w:lang w:val="ro-RO"/>
              </w:rPr>
              <w:t>inundaţiilor</w:t>
            </w:r>
            <w:proofErr w:type="spellEnd"/>
            <w:r w:rsidRPr="006C3081">
              <w:rPr>
                <w:color w:val="000000"/>
                <w:szCs w:val="24"/>
                <w:lang w:val="ro-RO"/>
              </w:rPr>
              <w:t xml:space="preserve"> tind a fi </w:t>
            </w:r>
            <w:proofErr w:type="spellStart"/>
            <w:r w:rsidRPr="006C3081">
              <w:rPr>
                <w:color w:val="000000"/>
                <w:szCs w:val="24"/>
                <w:lang w:val="ro-RO"/>
              </w:rPr>
              <w:t>potenţial</w:t>
            </w:r>
            <w:proofErr w:type="spellEnd"/>
            <w:r w:rsidRPr="006C3081">
              <w:rPr>
                <w:color w:val="000000"/>
                <w:szCs w:val="24"/>
                <w:lang w:val="ro-RO"/>
              </w:rPr>
              <w:t xml:space="preserve"> mai eficiente ca </w:t>
            </w:r>
            <w:proofErr w:type="spellStart"/>
            <w:r w:rsidRPr="006C3081">
              <w:rPr>
                <w:color w:val="000000"/>
                <w:szCs w:val="24"/>
                <w:lang w:val="ro-RO"/>
              </w:rPr>
              <w:t>soluţii</w:t>
            </w:r>
            <w:proofErr w:type="spellEnd"/>
            <w:r w:rsidRPr="006C3081">
              <w:rPr>
                <w:color w:val="000000"/>
                <w:szCs w:val="24"/>
                <w:lang w:val="ro-RO"/>
              </w:rPr>
              <w:t xml:space="preserve"> durabile pe termen lung pentru problemele apei </w:t>
            </w:r>
            <w:proofErr w:type="spellStart"/>
            <w:r w:rsidRPr="006C3081">
              <w:rPr>
                <w:color w:val="000000"/>
                <w:szCs w:val="24"/>
                <w:lang w:val="ro-RO"/>
              </w:rPr>
              <w:t>şi</w:t>
            </w:r>
            <w:proofErr w:type="spellEnd"/>
            <w:r w:rsidRPr="006C3081">
              <w:rPr>
                <w:color w:val="000000"/>
                <w:szCs w:val="24"/>
                <w:lang w:val="ro-RO"/>
              </w:rPr>
              <w:t xml:space="preserve"> cele adiacente ei </w:t>
            </w:r>
            <w:proofErr w:type="spellStart"/>
            <w:r w:rsidRPr="006C3081">
              <w:rPr>
                <w:color w:val="000000"/>
                <w:szCs w:val="24"/>
                <w:lang w:val="ro-RO"/>
              </w:rPr>
              <w:t>şi</w:t>
            </w:r>
            <w:proofErr w:type="spellEnd"/>
            <w:r w:rsidRPr="006C3081">
              <w:rPr>
                <w:color w:val="000000"/>
                <w:szCs w:val="24"/>
                <w:lang w:val="ro-RO"/>
              </w:rPr>
              <w:t xml:space="preserve"> ele trebuie intensificate, în special în vederea reducerii </w:t>
            </w:r>
            <w:proofErr w:type="spellStart"/>
            <w:r w:rsidRPr="006C3081">
              <w:rPr>
                <w:color w:val="000000"/>
                <w:szCs w:val="24"/>
                <w:lang w:val="ro-RO"/>
              </w:rPr>
              <w:t>vulnerabilităţii</w:t>
            </w:r>
            <w:proofErr w:type="spellEnd"/>
            <w:r w:rsidRPr="006C3081">
              <w:rPr>
                <w:color w:val="000000"/>
                <w:szCs w:val="24"/>
                <w:lang w:val="ro-RO"/>
              </w:rPr>
              <w:t xml:space="preserve"> populației, a bunurilor </w:t>
            </w:r>
            <w:proofErr w:type="spellStart"/>
            <w:r w:rsidRPr="006C3081">
              <w:rPr>
                <w:color w:val="000000"/>
                <w:szCs w:val="24"/>
                <w:lang w:val="ro-RO"/>
              </w:rPr>
              <w:t>şi</w:t>
            </w:r>
            <w:proofErr w:type="spellEnd"/>
            <w:r w:rsidRPr="006C3081">
              <w:rPr>
                <w:color w:val="000000"/>
                <w:szCs w:val="24"/>
                <w:lang w:val="ro-RO"/>
              </w:rPr>
              <w:t xml:space="preserve"> a proprietății. Măsurile structurale rămân elemente importante în prevenirea și protecția inundațiilor, dar cu luarea în considerare a aspectelor privind conservarea naturii și amenajarea teritoriului; trebuie să se rețină că, aceste măsuri trebuie orientate prioritar spre protecția vieții și sănătății umane și a siguranței, a proprietății și a bunurilor.</w:t>
            </w:r>
          </w:p>
          <w:p w14:paraId="1D225667" w14:textId="77777777" w:rsidR="00AB3529" w:rsidRPr="006C3081" w:rsidRDefault="00AB3529" w:rsidP="00AB3529">
            <w:pPr>
              <w:ind w:left="90" w:right="150"/>
              <w:rPr>
                <w:color w:val="000000"/>
                <w:szCs w:val="24"/>
                <w:lang w:val="ro-RO"/>
              </w:rPr>
            </w:pPr>
            <w:r w:rsidRPr="006C3081">
              <w:rPr>
                <w:color w:val="000000"/>
                <w:szCs w:val="24"/>
                <w:lang w:val="ro-RO"/>
              </w:rPr>
              <w:t xml:space="preserve">În acest context, s-a impus necesitatea revizuirii Strategiei Naționale de Management al Riscului la Inundații (S.N.M.R.I.) pe termen mediu și lung, și a Planului de Acțiune pentru implementarea acesteia, pe baza unui nou cadru normativ, pentru perioada 2023–2035. </w:t>
            </w:r>
          </w:p>
          <w:p w14:paraId="49596311" w14:textId="77777777" w:rsidR="00AB3529" w:rsidRPr="006C3081" w:rsidRDefault="00AB3529" w:rsidP="00AB3529">
            <w:pPr>
              <w:ind w:left="90" w:right="150"/>
              <w:rPr>
                <w:color w:val="000000"/>
                <w:szCs w:val="24"/>
                <w:lang w:val="ro-RO"/>
              </w:rPr>
            </w:pPr>
            <w:r w:rsidRPr="006C3081">
              <w:rPr>
                <w:color w:val="000000"/>
                <w:szCs w:val="24"/>
                <w:lang w:val="ro-RO"/>
              </w:rPr>
              <w:t>Elaborarea Strategiei a urmărit respectarea integrală a principiilor participării, responsabilității, fundamentării, sustenabilității, predictibilității și transparenței. Prin aceste principii, S.N.M.R.I. promovează o abordare participativă și acțiunea incluzivă a instituțiilor și a cetățenilor României, prin eforturi pe termen lung (2035). Îndeplinirea obiectivelor strategiei este prevăzută a se realiza prin colaborare și investiții dedicate, de către actori instituționali esențiali implicați în managementul riscului la inundații, precum și prin angrenarea organizațiilor societății civile, a sectorului privat și a publicului larg.</w:t>
            </w:r>
          </w:p>
          <w:p w14:paraId="053A5F1E" w14:textId="77777777" w:rsidR="00AB3529" w:rsidRPr="006C3081" w:rsidRDefault="00AB3529" w:rsidP="00AB3529">
            <w:pPr>
              <w:spacing w:before="120" w:after="120"/>
              <w:ind w:left="90" w:right="150"/>
              <w:rPr>
                <w:color w:val="000000"/>
                <w:szCs w:val="24"/>
                <w:lang w:val="ro-RO"/>
              </w:rPr>
            </w:pPr>
            <w:r w:rsidRPr="006C3081">
              <w:rPr>
                <w:color w:val="000000"/>
                <w:szCs w:val="24"/>
                <w:lang w:val="ro-RO"/>
              </w:rPr>
              <w:t>O abordare coordonată a gestionării riscului actual și viitor la inundații este esențială pentru ca această strategie să poată fi cu adevărat valorizată și să asigure o abordare sustenabilă pentru gestionarea riscului la inundații.</w:t>
            </w:r>
          </w:p>
          <w:p w14:paraId="2B5FB081" w14:textId="77777777" w:rsidR="00AB3529" w:rsidRPr="006C3081" w:rsidRDefault="00AB3529" w:rsidP="00AB3529">
            <w:pPr>
              <w:spacing w:before="120" w:after="120"/>
              <w:ind w:left="90" w:right="150"/>
              <w:rPr>
                <w:color w:val="000000"/>
                <w:szCs w:val="24"/>
                <w:lang w:val="ro-RO"/>
              </w:rPr>
            </w:pPr>
            <w:r w:rsidRPr="006C3081">
              <w:rPr>
                <w:color w:val="000000"/>
                <w:szCs w:val="24"/>
                <w:lang w:val="ro-RO"/>
              </w:rPr>
              <w:t xml:space="preserve">Elaborarea Strategiei a urmărit asigurarea concordanței depline cu viziunea, obiectivul general și obiectivele specifice, respectiv furnizarea unui document realist, actual, fundamentat tehnic și corelat cu alte documente de planificare strategice. Strategia a fost elaborată în mai multe etape distincte, derulate complementar și </w:t>
            </w:r>
            <w:r w:rsidRPr="006C3081">
              <w:rPr>
                <w:color w:val="000000"/>
                <w:szCs w:val="24"/>
                <w:lang w:val="ro-RO"/>
              </w:rPr>
              <w:lastRenderedPageBreak/>
              <w:t>succesiv, care au urmărit să asigure calitatea, claritatea, actualitatea și utilitatea demersului, prin următoarele elemente:</w:t>
            </w:r>
          </w:p>
          <w:p w14:paraId="11031DF5"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raportarea la contextul internațional și european, precum și la documentele programatice existente, incluzând inventarierea strategiilor existente și a cadrului legislativ la nivel european și național;</w:t>
            </w:r>
          </w:p>
          <w:p w14:paraId="3FA0F25B"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 xml:space="preserve">analiza critică a Strategiei, realizată în cadrul proiectului Servicii de consultanță și expertiză în vederea revizuirii și reactualizării Strategiei Naționale de Management al Riscului la Inundații pe termen mediu și lung și a Planului de implementare SIPOCA 601/cod </w:t>
            </w:r>
            <w:proofErr w:type="spellStart"/>
            <w:r w:rsidRPr="006C3081">
              <w:rPr>
                <w:color w:val="000000"/>
                <w:szCs w:val="24"/>
                <w:lang w:val="ro-RO"/>
              </w:rPr>
              <w:t>MySMIS</w:t>
            </w:r>
            <w:proofErr w:type="spellEnd"/>
            <w:r w:rsidRPr="006C3081">
              <w:rPr>
                <w:color w:val="000000"/>
                <w:szCs w:val="24"/>
                <w:lang w:val="ro-RO"/>
              </w:rPr>
              <w:t xml:space="preserve"> 127559, inclusiv sub aspectul cuantificării gradului de îndeplinire a măsurilor asociate Strategiei și considerarea acțiunilor corective și a măsurilor de accelerare a progresului unor măsuri, după caz;</w:t>
            </w:r>
          </w:p>
          <w:p w14:paraId="1C7E694C"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păstrarea acelor obiective strategice / măsuri / acțiuni relevante, în vederea asigurării continuității, coerenței și predictibilității pe termen lung a documentului strategic elaborat;</w:t>
            </w:r>
          </w:p>
          <w:p w14:paraId="389A5317"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 xml:space="preserve">valorizarea principalelor rezultate ale rapoartelor / livrabilelor elaborate în cadrul proiectului recent finalizat „Întărirea capacității autorității publice centrale în domeniul managementului apelor în scopul implementării etapelor a 2-a și a 3-a ale Ciclului II al Directivei Inundații – RO-FLOODS”, Cod SIPOCA 734 Cod </w:t>
            </w:r>
            <w:proofErr w:type="spellStart"/>
            <w:r w:rsidRPr="006C3081">
              <w:rPr>
                <w:color w:val="000000"/>
                <w:szCs w:val="24"/>
                <w:lang w:val="ro-RO"/>
              </w:rPr>
              <w:t>MySmis</w:t>
            </w:r>
            <w:proofErr w:type="spellEnd"/>
            <w:r w:rsidRPr="006C3081">
              <w:rPr>
                <w:color w:val="000000"/>
                <w:szCs w:val="24"/>
                <w:lang w:val="ro-RO"/>
              </w:rPr>
              <w:t xml:space="preserve">  130033, precum și în cadrul contractului de consultanță subsecvent „Asistență tehnică pentru elaborarea Planurilor de Management al Riscului la Inundații pentru România”, în cadrul căruia au fost elaborate hărțile de hazard și de risc la inundații și Planurile de Management al Riscului la Inundații; </w:t>
            </w:r>
          </w:p>
          <w:p w14:paraId="137261F7"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 xml:space="preserve">valorizarea tuturor rezultatelor analizelor / rapoartelor / livrabilelor elaborate în cadrul proiectului Servicii de consultanță și expertiză în vederea revizuirii și reactualizării Strategiei Naționale de Management al Riscului la Inundații pe termen mediu și lung și a Planului de implementare - SIPOCA 601/cod </w:t>
            </w:r>
            <w:proofErr w:type="spellStart"/>
            <w:r w:rsidRPr="006C3081">
              <w:rPr>
                <w:color w:val="000000"/>
                <w:szCs w:val="24"/>
                <w:lang w:val="ro-RO"/>
              </w:rPr>
              <w:t>MySMIS</w:t>
            </w:r>
            <w:proofErr w:type="spellEnd"/>
            <w:r w:rsidRPr="006C3081">
              <w:rPr>
                <w:color w:val="000000"/>
                <w:szCs w:val="24"/>
                <w:lang w:val="ro-RO"/>
              </w:rPr>
              <w:t xml:space="preserve"> 127559 în cadrul căruia Strategia a fost revizuită / dezvoltată;</w:t>
            </w:r>
          </w:p>
          <w:p w14:paraId="2624F495" w14:textId="3C44B7DE"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 xml:space="preserve">elaborarea unor obiective strategice generale, precum și a unor obiective specifice realiste, măsurabile și tangibile în orizontul de timp 2023–2035, în strânsă legătură cu obiectivele stabilite în cadrul Planurilor de </w:t>
            </w:r>
            <w:r w:rsidR="00220FB6" w:rsidRPr="006C3081">
              <w:rPr>
                <w:color w:val="000000"/>
                <w:szCs w:val="24"/>
                <w:lang w:val="ro-RO"/>
              </w:rPr>
              <w:t>management al riscului la inundații</w:t>
            </w:r>
            <w:r w:rsidRPr="006C3081">
              <w:rPr>
                <w:color w:val="000000"/>
                <w:szCs w:val="24"/>
                <w:lang w:val="ro-RO"/>
              </w:rPr>
              <w:t>, aprobate prin H</w:t>
            </w:r>
            <w:r w:rsidR="00220FB6">
              <w:rPr>
                <w:color w:val="000000"/>
                <w:szCs w:val="24"/>
                <w:lang w:val="ro-RO"/>
              </w:rPr>
              <w:t xml:space="preserve">otărârea </w:t>
            </w:r>
            <w:r w:rsidRPr="006C3081">
              <w:rPr>
                <w:color w:val="000000"/>
                <w:szCs w:val="24"/>
                <w:lang w:val="ro-RO"/>
              </w:rPr>
              <w:t>G</w:t>
            </w:r>
            <w:r w:rsidR="00220FB6">
              <w:rPr>
                <w:color w:val="000000"/>
                <w:szCs w:val="24"/>
                <w:lang w:val="ro-RO"/>
              </w:rPr>
              <w:t>uvernului</w:t>
            </w:r>
            <w:r w:rsidRPr="006C3081">
              <w:rPr>
                <w:color w:val="000000"/>
                <w:szCs w:val="24"/>
                <w:lang w:val="ro-RO"/>
              </w:rPr>
              <w:t xml:space="preserve"> nr. 886/2023;</w:t>
            </w:r>
          </w:p>
          <w:p w14:paraId="72C7C647"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consultarea părților interesate, cu diferite profiluri (instituții publice și private, societate civilă, factori de decizie sau entități economice), din domenii de activitate diverse; consultările au vizat dezbateri privind elaborarea Strategiei, schimbul de informații și ajustarea obiectivelor specifice în funcție de necesitățile reale identificate; obiectivele strategice stabilite în funcție de sector au fost discutate cu ministerele de resort.</w:t>
            </w:r>
          </w:p>
          <w:p w14:paraId="750E7CF0" w14:textId="63CA1F19" w:rsidR="00AB3529" w:rsidRPr="006C3081" w:rsidRDefault="00AB3529" w:rsidP="00AB3529">
            <w:pPr>
              <w:ind w:left="90" w:right="150"/>
              <w:rPr>
                <w:color w:val="000000"/>
                <w:szCs w:val="24"/>
                <w:lang w:val="ro-RO"/>
              </w:rPr>
            </w:pPr>
            <w:r w:rsidRPr="006C3081">
              <w:rPr>
                <w:color w:val="000000"/>
                <w:szCs w:val="24"/>
                <w:lang w:val="ro-RO"/>
              </w:rPr>
              <w:t xml:space="preserve">Rezultatele Strategiei Naționale de Management al Riscului la Inundații contribuie la realizarea obiectivelor pe termen lung ale Directivei </w:t>
            </w:r>
            <w:r w:rsidR="00220FB6" w:rsidRPr="006C3081">
              <w:rPr>
                <w:color w:val="000000"/>
                <w:szCs w:val="24"/>
                <w:lang w:val="ro-RO"/>
              </w:rPr>
              <w:t>2007/60/CE</w:t>
            </w:r>
            <w:r w:rsidR="00220FB6">
              <w:rPr>
                <w:color w:val="000000"/>
                <w:szCs w:val="24"/>
                <w:lang w:val="ro-RO"/>
              </w:rPr>
              <w:t xml:space="preserve"> </w:t>
            </w:r>
            <w:r w:rsidR="00220FB6" w:rsidRPr="00AB3529">
              <w:rPr>
                <w:rFonts w:eastAsia="Arial Unicode MS"/>
                <w:bCs/>
                <w:color w:val="000000"/>
                <w:szCs w:val="24"/>
                <w:lang w:val="ro-RO" w:bidi="en-US"/>
              </w:rPr>
              <w:t>a Parlamentului European și a Consiliului din 23 octombrie 2007</w:t>
            </w:r>
            <w:r w:rsidRPr="006C3081">
              <w:rPr>
                <w:color w:val="000000"/>
                <w:szCs w:val="24"/>
                <w:lang w:val="ro-RO"/>
              </w:rPr>
              <w:t>; implementarea strategiei va conduce la obținerea unor rezultate concrete la nivel economic, social, de mediu și cultural, în concordanță cu obiectivele de dezvoltare durabilă a României.</w:t>
            </w:r>
          </w:p>
          <w:p w14:paraId="47DBF9CD" w14:textId="5EA0D37D" w:rsidR="00AB3529" w:rsidRPr="006C3081" w:rsidRDefault="00AB3529" w:rsidP="00AB3529">
            <w:pPr>
              <w:ind w:left="90" w:right="150"/>
              <w:rPr>
                <w:color w:val="000000"/>
                <w:szCs w:val="24"/>
                <w:lang w:val="ro-RO"/>
              </w:rPr>
            </w:pPr>
            <w:r w:rsidRPr="006C3081">
              <w:rPr>
                <w:color w:val="000000"/>
                <w:szCs w:val="24"/>
                <w:lang w:val="ro-RO"/>
              </w:rPr>
              <w:lastRenderedPageBreak/>
              <w:t xml:space="preserve">Țintele sunt exprimate în raport cu situația de referință, evaluată în cadrul Planurilor de </w:t>
            </w:r>
            <w:r w:rsidR="00220FB6" w:rsidRPr="006C3081">
              <w:rPr>
                <w:color w:val="000000"/>
                <w:szCs w:val="24"/>
                <w:lang w:val="ro-RO"/>
              </w:rPr>
              <w:t>management al riscului la inundații</w:t>
            </w:r>
            <w:r w:rsidR="00220FB6">
              <w:rPr>
                <w:color w:val="000000"/>
                <w:szCs w:val="24"/>
                <w:lang w:val="ro-RO"/>
              </w:rPr>
              <w:t>,</w:t>
            </w:r>
            <w:r w:rsidRPr="006C3081">
              <w:rPr>
                <w:color w:val="000000"/>
                <w:szCs w:val="24"/>
                <w:lang w:val="ro-RO"/>
              </w:rPr>
              <w:t xml:space="preserve"> aprobate prin H.G. nr. 886/2023 (anul de referință 2022) și prezentată în capitolul IV Analiza contextului și definirea problemelor, luând în considerare zonele cu risc potențial semnificativ la inundații (identificate ca A.P.S.F.R.).</w:t>
            </w:r>
          </w:p>
          <w:p w14:paraId="5D0AF5A1" w14:textId="77777777" w:rsidR="00AB3529" w:rsidRPr="006C3081" w:rsidRDefault="00AB3529" w:rsidP="00AB3529">
            <w:pPr>
              <w:ind w:left="90" w:right="150"/>
              <w:rPr>
                <w:color w:val="000000"/>
                <w:szCs w:val="24"/>
                <w:lang w:val="ro-RO"/>
              </w:rPr>
            </w:pPr>
            <w:r w:rsidRPr="006C3081">
              <w:rPr>
                <w:color w:val="000000"/>
                <w:szCs w:val="24"/>
                <w:lang w:val="ro-RO"/>
              </w:rPr>
              <w:t>Rezultatele așteptate sunt exprimate sub forma unor ținte cuantificabile:</w:t>
            </w:r>
          </w:p>
          <w:p w14:paraId="087DF842"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Creșterea gradului de protecție pentru 57 % din  numărul de persoane expuse riscului potențial de inundații la viituri cu debite având probabilitatea anuală de depășire de 1% față de situația prezentă  (situație descrisă în capitolul IV);</w:t>
            </w:r>
          </w:p>
          <w:p w14:paraId="63A9BC7D"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Creșterea gradului de protecție pentru circa 56% din numărul de proprietăți cu destinație rezidențială expuse riscului potențial de inundații la viituri cu debite având probabilitatea anuală de depășire de 1% față de situația prezentă (situație descrisă în capitolul IV);</w:t>
            </w:r>
          </w:p>
          <w:p w14:paraId="01B0F050"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Creșterea gradului de protecție pentru circa 88% din obiectivele sociale expuse la inundații cauzate de viituri cu debite având probabilitatea anuală de depășire de 1% față de situația prezentă (situație descrisă în capitolul IV);</w:t>
            </w:r>
          </w:p>
          <w:p w14:paraId="7BFFEBED"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Creșterea gradului de protecție pentru circa 78% din numărul de obiective culturale expuse riscului potențial de inundații la viituri cu debite având probabilitatea anuală de depășire de 1% față de situația prezentă (situație descrisă în capitolul IV);</w:t>
            </w:r>
          </w:p>
          <w:p w14:paraId="240ACC27"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Reducerea pagubelor medii anuale (</w:t>
            </w:r>
            <w:proofErr w:type="spellStart"/>
            <w:r w:rsidRPr="006C3081">
              <w:rPr>
                <w:color w:val="000000"/>
                <w:szCs w:val="24"/>
                <w:lang w:val="ro-RO"/>
              </w:rPr>
              <w:t>Annual</w:t>
            </w:r>
            <w:proofErr w:type="spellEnd"/>
            <w:r w:rsidRPr="006C3081">
              <w:rPr>
                <w:color w:val="000000"/>
                <w:szCs w:val="24"/>
                <w:lang w:val="ro-RO"/>
              </w:rPr>
              <w:t xml:space="preserve"> </w:t>
            </w:r>
            <w:proofErr w:type="spellStart"/>
            <w:r w:rsidRPr="006C3081">
              <w:rPr>
                <w:color w:val="000000"/>
                <w:szCs w:val="24"/>
                <w:lang w:val="ro-RO"/>
              </w:rPr>
              <w:t>Expected</w:t>
            </w:r>
            <w:proofErr w:type="spellEnd"/>
            <w:r w:rsidRPr="006C3081">
              <w:rPr>
                <w:color w:val="000000"/>
                <w:szCs w:val="24"/>
                <w:lang w:val="ro-RO"/>
              </w:rPr>
              <w:t xml:space="preserve"> </w:t>
            </w:r>
            <w:proofErr w:type="spellStart"/>
            <w:r w:rsidRPr="006C3081">
              <w:rPr>
                <w:color w:val="000000"/>
                <w:szCs w:val="24"/>
                <w:lang w:val="ro-RO"/>
              </w:rPr>
              <w:t>Damage</w:t>
            </w:r>
            <w:proofErr w:type="spellEnd"/>
            <w:r w:rsidRPr="006C3081">
              <w:rPr>
                <w:color w:val="000000"/>
                <w:szCs w:val="24"/>
                <w:lang w:val="ro-RO"/>
              </w:rPr>
              <w:t xml:space="preserve"> - AED)  cauzate de inundații din surse fluviale pentru APSFR identificate, de la cca 1,505 mld. €/an - situația actuală (2022) la valoarea de cca 1 mld. €/an în 2035 (ceea ce reprezintă o reducere a pagubei medii anuale cu cca 505 mil. €/an, respectiv o reducere a pagubei totale cu cca 6 miliarde € până în 2035);</w:t>
            </w:r>
          </w:p>
          <w:p w14:paraId="4D46B1AF" w14:textId="77777777" w:rsidR="00AB3529" w:rsidRPr="006C3081" w:rsidRDefault="00AB3529" w:rsidP="00AB3529">
            <w:pPr>
              <w:ind w:left="90" w:right="150"/>
              <w:rPr>
                <w:color w:val="000000"/>
                <w:szCs w:val="24"/>
                <w:lang w:val="ro-RO"/>
              </w:rPr>
            </w:pPr>
            <w:r w:rsidRPr="006C3081">
              <w:rPr>
                <w:color w:val="000000"/>
                <w:szCs w:val="24"/>
                <w:lang w:val="ro-RO"/>
              </w:rPr>
              <w:t>-</w:t>
            </w:r>
            <w:r w:rsidRPr="006C3081">
              <w:rPr>
                <w:color w:val="000000"/>
                <w:szCs w:val="24"/>
                <w:lang w:val="ro-RO"/>
              </w:rPr>
              <w:tab/>
              <w:t>Implementarea de măsuri verzi / soluții bazate pe natură cu rol în reducerea riscului la inundații (două sub-ținte)</w:t>
            </w:r>
          </w:p>
          <w:p w14:paraId="2C1B6549" w14:textId="77777777" w:rsidR="00AB3529" w:rsidRPr="006C3081" w:rsidRDefault="00AB3529" w:rsidP="00AB3529">
            <w:pPr>
              <w:ind w:left="90" w:right="150"/>
              <w:rPr>
                <w:color w:val="000000"/>
                <w:szCs w:val="24"/>
                <w:lang w:val="ro-RO"/>
              </w:rPr>
            </w:pPr>
            <w:r w:rsidRPr="006C3081">
              <w:rPr>
                <w:color w:val="000000"/>
                <w:szCs w:val="24"/>
                <w:lang w:val="ro-RO"/>
              </w:rPr>
              <w:t>o</w:t>
            </w:r>
            <w:r w:rsidRPr="006C3081">
              <w:rPr>
                <w:color w:val="000000"/>
                <w:szCs w:val="24"/>
                <w:lang w:val="ro-RO"/>
              </w:rPr>
              <w:tab/>
              <w:t>Țintă 2035 – implementarea a 275 măsuri verzi / soluții bazate pe natură - măsuri care contribuie  la restabilirea parțială / totală a conectivității laterale a corpurilor de apă aferente sectoarelor de râu identificate ca A.P.S.F.R.;</w:t>
            </w:r>
          </w:p>
          <w:p w14:paraId="0C7897F2" w14:textId="32096BC6" w:rsidR="00AB3529" w:rsidRPr="007A7D7B" w:rsidRDefault="00AB3529" w:rsidP="00AB3529">
            <w:pPr>
              <w:ind w:left="90" w:right="150"/>
              <w:rPr>
                <w:color w:val="000000"/>
                <w:lang w:val="ro-RO" w:eastAsia="zh-CN"/>
              </w:rPr>
            </w:pPr>
            <w:r w:rsidRPr="006C3081">
              <w:rPr>
                <w:color w:val="000000"/>
                <w:szCs w:val="24"/>
                <w:lang w:val="ro-RO"/>
              </w:rPr>
              <w:t>o</w:t>
            </w:r>
            <w:r w:rsidRPr="006C3081">
              <w:rPr>
                <w:color w:val="000000"/>
                <w:szCs w:val="24"/>
                <w:lang w:val="ro-RO"/>
              </w:rPr>
              <w:tab/>
              <w:t>Țintă 2035 – implementarea a 100 măsuri de împădurire (perimetre de ameliorare, care contribuie la reducerea scurgerii pe versant) în sub-bazinele hidrografice ale sectoarelor de râu / zonelor identificate ca A.P.S.F.R.</w:t>
            </w:r>
          </w:p>
        </w:tc>
      </w:tr>
      <w:tr w:rsidR="00220FB6" w:rsidRPr="007A7D7B" w14:paraId="732F6D08" w14:textId="77777777" w:rsidTr="007A7D7B">
        <w:trPr>
          <w:trHeight w:val="744"/>
          <w:tblCellSpacing w:w="0" w:type="dxa"/>
        </w:trPr>
        <w:tc>
          <w:tcPr>
            <w:tcW w:w="3479" w:type="dxa"/>
            <w:tcMar>
              <w:top w:w="15" w:type="dxa"/>
              <w:left w:w="15" w:type="dxa"/>
              <w:bottom w:w="15" w:type="dxa"/>
              <w:right w:w="15" w:type="dxa"/>
            </w:tcMar>
          </w:tcPr>
          <w:p w14:paraId="3D8AC30D" w14:textId="77777777" w:rsidR="00220FB6" w:rsidRPr="007A7D7B" w:rsidRDefault="00220FB6" w:rsidP="00220FB6">
            <w:pPr>
              <w:spacing w:after="120"/>
              <w:rPr>
                <w:bCs/>
                <w:lang w:val="ro-RO"/>
              </w:rPr>
            </w:pPr>
            <w:r w:rsidRPr="007A7D7B">
              <w:rPr>
                <w:bCs/>
                <w:lang w:val="ro-RO"/>
              </w:rPr>
              <w:lastRenderedPageBreak/>
              <w:t>2.3. Schimbări preconizate</w:t>
            </w:r>
          </w:p>
        </w:tc>
        <w:tc>
          <w:tcPr>
            <w:tcW w:w="6781" w:type="dxa"/>
            <w:gridSpan w:val="3"/>
            <w:tcMar>
              <w:top w:w="15" w:type="dxa"/>
              <w:left w:w="15" w:type="dxa"/>
              <w:bottom w:w="15" w:type="dxa"/>
              <w:right w:w="15" w:type="dxa"/>
            </w:tcMar>
          </w:tcPr>
          <w:p w14:paraId="33D25516" w14:textId="77777777" w:rsidR="00220FB6" w:rsidRPr="006C3081" w:rsidRDefault="00220FB6" w:rsidP="00220FB6">
            <w:pPr>
              <w:pStyle w:val="JBAParaText"/>
              <w:widowControl w:val="0"/>
              <w:spacing w:after="0"/>
              <w:ind w:left="90" w:right="60"/>
              <w:contextualSpacing/>
              <w:rPr>
                <w:rFonts w:ascii="Times New Roman" w:hAnsi="Times New Roman"/>
                <w:color w:val="000000"/>
                <w:sz w:val="24"/>
                <w:szCs w:val="24"/>
              </w:rPr>
            </w:pPr>
            <w:r w:rsidRPr="006C3081">
              <w:rPr>
                <w:rFonts w:ascii="Times New Roman" w:hAnsi="Times New Roman"/>
                <w:color w:val="000000"/>
                <w:sz w:val="24"/>
                <w:szCs w:val="24"/>
              </w:rPr>
              <w:t>De-a lungul timpului, pentru a proteja localitățile, zonele industriale și comerciale importante, au fost construite infrastructuri de protecție împotriva inundațiilor, acestea urmând a fi construite și în viitor, unde este necesar.</w:t>
            </w:r>
          </w:p>
          <w:p w14:paraId="2716F3CD" w14:textId="77777777" w:rsidR="00220FB6" w:rsidRPr="006C3081" w:rsidRDefault="00220FB6" w:rsidP="00220FB6">
            <w:pPr>
              <w:pStyle w:val="JBAParaText"/>
              <w:widowControl w:val="0"/>
              <w:spacing w:after="0"/>
              <w:ind w:left="90" w:right="60"/>
              <w:contextualSpacing/>
              <w:rPr>
                <w:rFonts w:ascii="Times New Roman" w:hAnsi="Times New Roman"/>
                <w:color w:val="000000"/>
                <w:sz w:val="24"/>
                <w:szCs w:val="24"/>
              </w:rPr>
            </w:pPr>
            <w:r w:rsidRPr="006C3081">
              <w:rPr>
                <w:rFonts w:ascii="Times New Roman" w:hAnsi="Times New Roman"/>
                <w:color w:val="000000"/>
                <w:sz w:val="24"/>
                <w:szCs w:val="24"/>
              </w:rPr>
              <w:t xml:space="preserve">În vederea protejării teritoriului situat în afara zonelor urbane, industriale și comerciale, este necesar ca accentul să se pună pe dezvoltarea măsurilor de retenție naturală a apei și pe construirea de poldere / zone de drenaj. Se recomandă ca, ori de câte ori este posibil, managementul zonelor inundabile să fie adaptat și ajustat prin intermediul unor măsuri nestructurale („lucrări pasive”). În acest sens, următoarele măsuri prezintă un interes ridicat: amenajarea teritoriului (inclusiv managementul folosinței / utilizării terenului), reglementările în materie de construcții, gestionarea situațiilor de </w:t>
            </w:r>
            <w:r w:rsidRPr="006C3081">
              <w:rPr>
                <w:rFonts w:ascii="Times New Roman" w:hAnsi="Times New Roman"/>
                <w:color w:val="000000"/>
                <w:sz w:val="24"/>
                <w:szCs w:val="24"/>
              </w:rPr>
              <w:lastRenderedPageBreak/>
              <w:t>urgență și măsuri de creștere a gradului de conștientizare a populației. În cadrul tuturor acestor intervenții vor fi luate în considerare cerințele și obiectivele de mediu. Măsurile propuse vor fi implementate într-o manieră care să asigure protecția corpurilor de apă (atingerea și menținerea stării bune a corpurilor de apă), a biodiversității (obiectivele specifice pentru protecția speciilor și habitatelor, îndeosebi a celor dependente de apă) și a peisajului.</w:t>
            </w:r>
          </w:p>
          <w:p w14:paraId="3693CBE7" w14:textId="77777777" w:rsidR="00220FB6" w:rsidRPr="006C3081" w:rsidRDefault="00220FB6" w:rsidP="00220FB6">
            <w:pPr>
              <w:pStyle w:val="JBAParaText"/>
              <w:widowControl w:val="0"/>
              <w:spacing w:after="0"/>
              <w:ind w:left="90" w:right="60"/>
              <w:contextualSpacing/>
              <w:rPr>
                <w:rFonts w:ascii="Times New Roman" w:hAnsi="Times New Roman"/>
                <w:color w:val="000000"/>
                <w:sz w:val="24"/>
                <w:szCs w:val="24"/>
              </w:rPr>
            </w:pPr>
            <w:r w:rsidRPr="006C3081">
              <w:rPr>
                <w:rFonts w:ascii="Times New Roman" w:hAnsi="Times New Roman"/>
                <w:color w:val="000000"/>
                <w:sz w:val="24"/>
                <w:szCs w:val="24"/>
              </w:rPr>
              <w:t>Elaborarea hărților de hazard la inundații și determinarea modalităților de atenuare și tranzitare ale undelor de viitură care produc inundații trebuie să servească drept bază pentru planificarea spațială și informarea populației cu privire la riscul la inundații.</w:t>
            </w:r>
          </w:p>
          <w:p w14:paraId="5F021AE2" w14:textId="77777777" w:rsidR="00220FB6" w:rsidRPr="006C3081" w:rsidRDefault="00220FB6" w:rsidP="00220FB6">
            <w:pPr>
              <w:pStyle w:val="JBAParaText"/>
              <w:widowControl w:val="0"/>
              <w:spacing w:after="0"/>
              <w:ind w:left="90" w:right="60"/>
              <w:contextualSpacing/>
              <w:rPr>
                <w:rFonts w:ascii="Times New Roman" w:hAnsi="Times New Roman"/>
                <w:color w:val="000000"/>
                <w:sz w:val="24"/>
                <w:szCs w:val="24"/>
              </w:rPr>
            </w:pPr>
            <w:r w:rsidRPr="006C3081">
              <w:rPr>
                <w:rFonts w:ascii="Times New Roman" w:hAnsi="Times New Roman"/>
                <w:color w:val="000000"/>
                <w:sz w:val="24"/>
                <w:szCs w:val="24"/>
              </w:rPr>
              <w:t>Este de așteptat ca în viitor, riscul la inundații să fie redus într-un mod semnificativ, prin intermediul unei abordări integrate, respectiv prin punerea în aplicare a unor pachete de măsuri constând atât în măsuri structurale, cât și nestructurale. Un rol important îl va juca coordonarea strânsă cu măsurile privind amenajarea teritoriului, reglementările privind construcțiile, gestionarea situațiilor de urgență și cu măsurile de creștere a gradului de conștientizare a populației. Abordarea integrată a managementului riscului la inundații trebuie să fie parte a unui efort comun, implicând diferite sectoare ale societății, pentru a proteja mediul înconjurător, populația și sănătatea umană în fața schimbărilor climatice și a altor impacturi negative ale inundațiilor. În final, doar o abordare integrată și sustenabilă poate asigura un viitor durabil pentru mediul înconjurător și pentru societatea umană.</w:t>
            </w:r>
          </w:p>
          <w:p w14:paraId="6ECE3241" w14:textId="77777777" w:rsidR="00220FB6" w:rsidRPr="006C3081" w:rsidRDefault="00220FB6" w:rsidP="00220FB6">
            <w:pPr>
              <w:pStyle w:val="JBA-ReportText"/>
              <w:widowControl w:val="0"/>
              <w:spacing w:after="0"/>
              <w:ind w:left="90" w:right="60"/>
              <w:contextualSpacing/>
              <w:jc w:val="both"/>
              <w:rPr>
                <w:rFonts w:ascii="Times New Roman" w:hAnsi="Times New Roman"/>
                <w:i/>
                <w:iCs/>
                <w:color w:val="000000"/>
                <w:sz w:val="24"/>
                <w:szCs w:val="24"/>
              </w:rPr>
            </w:pPr>
            <w:r w:rsidRPr="006C3081">
              <w:rPr>
                <w:rFonts w:ascii="Times New Roman" w:hAnsi="Times New Roman"/>
                <w:i/>
                <w:iCs/>
                <w:color w:val="000000"/>
                <w:sz w:val="24"/>
                <w:szCs w:val="24"/>
              </w:rPr>
              <w:t>Viziunea pe termen lung a acestei strategii (2035)</w:t>
            </w:r>
          </w:p>
          <w:p w14:paraId="776AE5DD" w14:textId="77777777" w:rsidR="00220FB6" w:rsidRPr="006C3081" w:rsidRDefault="00220FB6" w:rsidP="00220FB6">
            <w:pPr>
              <w:tabs>
                <w:tab w:val="left" w:pos="8421"/>
              </w:tabs>
              <w:ind w:left="90" w:right="60"/>
              <w:rPr>
                <w:rFonts w:eastAsia="Times New Roman"/>
                <w:bCs/>
                <w:color w:val="000000"/>
                <w:szCs w:val="24"/>
                <w:lang w:val="ro-RO"/>
              </w:rPr>
            </w:pPr>
            <w:r w:rsidRPr="006C3081">
              <w:rPr>
                <w:color w:val="000000"/>
                <w:szCs w:val="24"/>
                <w:lang w:val="ro-RO"/>
              </w:rPr>
              <w:t>Este necesară aplicarea unei abordări holistice și integrate care include natura și procesele naturale, pentru a preveni sau reduce riscul la inundații, oferind însă și protecția de care mediul înconjurător are nevoie. Această abordare ia în considerare atât efectele climatice, cât și cele ale activităților umane asupra mediului, astfel încât să poată fi identificate și aplicate soluții sustenabile</w:t>
            </w:r>
          </w:p>
          <w:p w14:paraId="5B015209" w14:textId="77777777" w:rsidR="00220FB6" w:rsidRPr="006C3081" w:rsidRDefault="00220FB6" w:rsidP="00220FB6">
            <w:pPr>
              <w:tabs>
                <w:tab w:val="left" w:pos="8421"/>
              </w:tabs>
              <w:ind w:left="90" w:right="60"/>
              <w:rPr>
                <w:rFonts w:eastAsia="Times New Roman"/>
                <w:bCs/>
                <w:color w:val="000000"/>
                <w:szCs w:val="24"/>
                <w:lang w:val="ro-RO"/>
              </w:rPr>
            </w:pPr>
            <w:r w:rsidRPr="006C3081">
              <w:rPr>
                <w:rFonts w:eastAsia="Times New Roman"/>
                <w:bCs/>
                <w:color w:val="000000"/>
                <w:szCs w:val="24"/>
                <w:lang w:val="ro-RO"/>
              </w:rPr>
              <w:t>Strategia pornește de la necesitatea asigurării unui nivel adecvat de protecție și reziliență la inundații a societății românești, economiei, mediului și patrimoniului cultural, în orizontul de timp 2023–2035.</w:t>
            </w:r>
          </w:p>
          <w:p w14:paraId="5CB4FBC2" w14:textId="77777777" w:rsidR="00220FB6" w:rsidRPr="006C3081" w:rsidRDefault="00220FB6" w:rsidP="00220FB6">
            <w:pPr>
              <w:tabs>
                <w:tab w:val="left" w:pos="8421"/>
              </w:tabs>
              <w:ind w:left="90" w:right="60"/>
              <w:rPr>
                <w:rFonts w:eastAsia="Times New Roman"/>
                <w:bCs/>
                <w:color w:val="000000"/>
                <w:szCs w:val="24"/>
                <w:lang w:val="ro-RO"/>
              </w:rPr>
            </w:pPr>
            <w:r w:rsidRPr="006C3081">
              <w:rPr>
                <w:rFonts w:eastAsia="Times New Roman"/>
                <w:bCs/>
                <w:color w:val="000000"/>
                <w:szCs w:val="24"/>
                <w:lang w:val="ro-RO"/>
              </w:rPr>
              <w:t>În vederea asigurării unui nivel adecvat de protecție și reziliență, strategia propune valori standard de protecție (exprimate prin probabilități maxime de depășire) asociate diferitelor tipuri de dezvoltări urbane / rurale.</w:t>
            </w:r>
          </w:p>
          <w:p w14:paraId="262B2F2C" w14:textId="77777777" w:rsidR="00220FB6" w:rsidRPr="006C3081" w:rsidRDefault="00220FB6" w:rsidP="00220FB6">
            <w:pPr>
              <w:pStyle w:val="JBA-ReportText"/>
              <w:widowControl w:val="0"/>
              <w:spacing w:after="0"/>
              <w:ind w:left="90" w:right="60"/>
              <w:jc w:val="both"/>
              <w:rPr>
                <w:rFonts w:ascii="Times New Roman" w:hAnsi="Times New Roman"/>
                <w:color w:val="000000"/>
                <w:sz w:val="24"/>
                <w:szCs w:val="24"/>
              </w:rPr>
            </w:pPr>
            <w:r w:rsidRPr="006C3081">
              <w:rPr>
                <w:rFonts w:ascii="Times New Roman" w:hAnsi="Times New Roman"/>
                <w:color w:val="000000"/>
                <w:sz w:val="24"/>
                <w:szCs w:val="24"/>
              </w:rPr>
              <w:t xml:space="preserve">Standardul de protecție poate fi atins fie printr-o măsură individuală (singulară), fie printr-un ansamblu de măsuri (schemă de amenajare) – dimensionate astfel încât, conjugat, să îndeplinească standardul țintă. </w:t>
            </w:r>
          </w:p>
          <w:p w14:paraId="61BD81D3" w14:textId="77777777" w:rsidR="00220FB6" w:rsidRPr="006C3081" w:rsidRDefault="00220FB6" w:rsidP="00220FB6">
            <w:pPr>
              <w:pStyle w:val="JBA-ReportText"/>
              <w:widowControl w:val="0"/>
              <w:spacing w:after="0"/>
              <w:ind w:left="90" w:right="60"/>
              <w:contextualSpacing/>
              <w:jc w:val="both"/>
              <w:rPr>
                <w:rFonts w:ascii="Times New Roman" w:hAnsi="Times New Roman"/>
                <w:color w:val="000000"/>
                <w:sz w:val="24"/>
                <w:szCs w:val="24"/>
              </w:rPr>
            </w:pPr>
            <w:r w:rsidRPr="006C3081">
              <w:rPr>
                <w:rFonts w:ascii="Times New Roman" w:hAnsi="Times New Roman"/>
                <w:color w:val="000000"/>
                <w:sz w:val="24"/>
                <w:szCs w:val="24"/>
              </w:rPr>
              <w:t xml:space="preserve">În unele cazuri, atingerea standardului-țintă de protecție poate să nu fie realistă, ca urmare a unor constrângeri de natură economică, tehnică, socială, culturală sau de mediu; în aceste situații, standardul de protecție poate fi ajustat, justificat, pe baza unor analize de risc și analize </w:t>
            </w:r>
            <w:proofErr w:type="spellStart"/>
            <w:r w:rsidRPr="006C3081">
              <w:rPr>
                <w:rFonts w:ascii="Times New Roman" w:hAnsi="Times New Roman"/>
                <w:color w:val="000000"/>
                <w:sz w:val="24"/>
                <w:szCs w:val="24"/>
              </w:rPr>
              <w:t>tehnico</w:t>
            </w:r>
            <w:proofErr w:type="spellEnd"/>
            <w:r w:rsidRPr="006C3081">
              <w:rPr>
                <w:rFonts w:ascii="Times New Roman" w:hAnsi="Times New Roman"/>
                <w:color w:val="000000"/>
                <w:sz w:val="24"/>
                <w:szCs w:val="24"/>
              </w:rPr>
              <w:t xml:space="preserve">-economice riguroase (analiza </w:t>
            </w:r>
            <w:proofErr w:type="spellStart"/>
            <w:r w:rsidRPr="006C3081">
              <w:rPr>
                <w:rFonts w:ascii="Times New Roman" w:hAnsi="Times New Roman"/>
                <w:color w:val="000000"/>
                <w:sz w:val="24"/>
                <w:szCs w:val="24"/>
              </w:rPr>
              <w:t>Multi-Criterială</w:t>
            </w:r>
            <w:proofErr w:type="spellEnd"/>
            <w:r w:rsidRPr="006C3081">
              <w:rPr>
                <w:rFonts w:ascii="Times New Roman" w:hAnsi="Times New Roman"/>
                <w:color w:val="000000"/>
                <w:sz w:val="24"/>
                <w:szCs w:val="24"/>
              </w:rPr>
              <w:t xml:space="preserve">, analiza Cost-Beneficiu). În acest caz, dacă este posibil / fezabil, se vor propune măsuri de creștere a rezilienței pentru obiectivele care sunt expuse la inundații (măsuri de adaptare individuală). </w:t>
            </w:r>
          </w:p>
          <w:p w14:paraId="3E2A697F" w14:textId="77777777" w:rsidR="00220FB6" w:rsidRPr="006C3081" w:rsidRDefault="00220FB6" w:rsidP="00220FB6">
            <w:pPr>
              <w:pStyle w:val="JBA-ReportText"/>
              <w:widowControl w:val="0"/>
              <w:spacing w:after="0"/>
              <w:ind w:left="90" w:right="60"/>
              <w:contextualSpacing/>
              <w:jc w:val="both"/>
              <w:rPr>
                <w:rFonts w:ascii="Times New Roman" w:hAnsi="Times New Roman"/>
                <w:color w:val="000000"/>
                <w:sz w:val="24"/>
                <w:szCs w:val="24"/>
              </w:rPr>
            </w:pPr>
            <w:r w:rsidRPr="006C3081">
              <w:rPr>
                <w:rFonts w:ascii="Times New Roman" w:hAnsi="Times New Roman"/>
                <w:color w:val="000000"/>
                <w:sz w:val="24"/>
                <w:szCs w:val="24"/>
              </w:rPr>
              <w:t xml:space="preserve">În concluzie, odată standardul de protecție stabilit pentru o anumită zonă / localitate, sunt situații în care pot fi permise / acceptate niveluri </w:t>
            </w:r>
            <w:r w:rsidRPr="006C3081">
              <w:rPr>
                <w:rFonts w:ascii="Times New Roman" w:hAnsi="Times New Roman"/>
                <w:color w:val="000000"/>
                <w:sz w:val="24"/>
                <w:szCs w:val="24"/>
              </w:rPr>
              <w:lastRenderedPageBreak/>
              <w:t>de protecție mai reduse pentru anumite tipuri de dezvoltări / urbane / rurale (localități), cu mențiunea că, se va acorda prioritate creșterii rezilienței și gradului de securitate a lucrărilor de infrastructură esențială (inclusiv soluții de rezervă pentru alimentare cu apă, hidroenergie, etc).</w:t>
            </w:r>
          </w:p>
          <w:p w14:paraId="7C1E11E9" w14:textId="77777777" w:rsidR="00220FB6" w:rsidRPr="006C3081" w:rsidRDefault="00220FB6" w:rsidP="00220FB6">
            <w:pPr>
              <w:pStyle w:val="JBA-ReportText"/>
              <w:widowControl w:val="0"/>
              <w:spacing w:after="0"/>
              <w:ind w:left="90" w:right="60"/>
              <w:contextualSpacing/>
              <w:jc w:val="both"/>
              <w:rPr>
                <w:rFonts w:ascii="Times New Roman" w:hAnsi="Times New Roman"/>
                <w:color w:val="000000"/>
                <w:sz w:val="24"/>
                <w:szCs w:val="24"/>
              </w:rPr>
            </w:pPr>
            <w:r w:rsidRPr="006C3081">
              <w:rPr>
                <w:rFonts w:ascii="Times New Roman" w:hAnsi="Times New Roman"/>
                <w:color w:val="000000"/>
                <w:sz w:val="24"/>
                <w:szCs w:val="24"/>
              </w:rPr>
              <w:t xml:space="preserve">În funcție de localizarea noilor obiective/ construcții în raport cu zona inundabilă și a clasei de vulnerabilitate din care acestea fac parte, la etapa de solicitare a avizului de Gospodărirea Apelor, se vor elabora studii de </w:t>
            </w:r>
            <w:proofErr w:type="spellStart"/>
            <w:r w:rsidRPr="006C3081">
              <w:rPr>
                <w:rFonts w:ascii="Times New Roman" w:hAnsi="Times New Roman"/>
                <w:color w:val="000000"/>
                <w:sz w:val="24"/>
                <w:szCs w:val="24"/>
              </w:rPr>
              <w:t>inundabilitate</w:t>
            </w:r>
            <w:proofErr w:type="spellEnd"/>
            <w:r w:rsidRPr="006C3081">
              <w:rPr>
                <w:rFonts w:ascii="Times New Roman" w:hAnsi="Times New Roman"/>
                <w:color w:val="000000"/>
                <w:sz w:val="24"/>
                <w:szCs w:val="24"/>
              </w:rPr>
              <w:t xml:space="preserve"> de detaliu, care să respecte un conținut cadru stabilit la nivel național.</w:t>
            </w:r>
          </w:p>
          <w:p w14:paraId="28A2239D" w14:textId="77777777" w:rsidR="00220FB6" w:rsidRPr="006C3081" w:rsidRDefault="00220FB6" w:rsidP="00220FB6">
            <w:pPr>
              <w:widowControl w:val="0"/>
              <w:ind w:left="90" w:right="60"/>
              <w:contextualSpacing/>
              <w:rPr>
                <w:color w:val="000000"/>
                <w:szCs w:val="24"/>
                <w:lang w:val="ro-RO"/>
              </w:rPr>
            </w:pPr>
            <w:r w:rsidRPr="006C3081">
              <w:rPr>
                <w:color w:val="000000"/>
                <w:szCs w:val="24"/>
                <w:lang w:val="ro-RO"/>
              </w:rPr>
              <w:t>Strategia Națională de Management al Riscului la Inundații pe termen mediu și lung completează alte strategii și programe guvernamentale. Printre cele mai relevante strategii, se menționează Strategia Națională pentru Dezvoltare Durabilă a României Orizonturi 2013–2020–2030 (2008), Strategia de Dezvoltare Teritorială a României (S.D.T.R.) (2014), Strategia Națională pentru Păduri 2030 (S.N.P.30), Strategia Națională pentru Reducerea Riscului la Dezastre 2023-2035 (S.N.R.R.D.) (în curs de aprobare), Strategia Națională și Planul de Acțiune pentru Conservarea Biodiversității 2014–2020 (actualizate), Strategia Națională privind Adaptarea la Schimbările Climatice pentru perioada 2023-2030 cu perspectiva anului 2050 (S.N.A.S.C.) (în curs de aprobare), Strategia Națională de Cercetare Inovare și Specializare Inteligentă 2022-2027.</w:t>
            </w:r>
          </w:p>
          <w:p w14:paraId="6F3CFD32" w14:textId="3D19AD82" w:rsidR="00220FB6" w:rsidRPr="006C3081" w:rsidRDefault="00220FB6" w:rsidP="00220FB6">
            <w:pPr>
              <w:widowControl w:val="0"/>
              <w:ind w:left="90" w:right="60"/>
              <w:contextualSpacing/>
              <w:rPr>
                <w:color w:val="000000"/>
                <w:szCs w:val="24"/>
                <w:lang w:val="ro-RO"/>
              </w:rPr>
            </w:pPr>
            <w:r w:rsidRPr="006C3081">
              <w:rPr>
                <w:color w:val="000000"/>
                <w:szCs w:val="24"/>
                <w:lang w:val="ro-RO"/>
              </w:rPr>
              <w:t xml:space="preserve">Pentru implementarea cu succes a Strategiei naționale de management al riscului la inundații pe termen mediu și lung (versiune revizuită) și a Planului de </w:t>
            </w:r>
            <w:r>
              <w:rPr>
                <w:color w:val="000000"/>
                <w:szCs w:val="24"/>
                <w:lang w:val="ro-RO"/>
              </w:rPr>
              <w:t>a</w:t>
            </w:r>
            <w:r w:rsidRPr="006C3081">
              <w:rPr>
                <w:color w:val="000000"/>
                <w:szCs w:val="24"/>
                <w:lang w:val="ro-RO"/>
              </w:rPr>
              <w:t xml:space="preserve">cțiune </w:t>
            </w:r>
            <w:r>
              <w:rPr>
                <w:color w:val="000000"/>
                <w:szCs w:val="24"/>
                <w:lang w:val="ro-RO"/>
              </w:rPr>
              <w:t>aferent</w:t>
            </w:r>
            <w:r w:rsidRPr="006C3081">
              <w:rPr>
                <w:color w:val="000000"/>
                <w:szCs w:val="24"/>
                <w:lang w:val="ro-RO"/>
              </w:rPr>
              <w:t xml:space="preserve">, sunt necesare o serie de măsuri suport (măsuri legislative, instituționale, administrative), între care se menționează: </w:t>
            </w:r>
          </w:p>
          <w:p w14:paraId="11CA6C17" w14:textId="62656DB8"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modificări legislative, care să asigure eficiența aplicării acesteia. Un exemplu în acest sens este reprezentat de necesitatea revizuirii unor acte normative de organizare și funcționare ale autorităților publice implicate în managementul riscului la inundații. Având în vedere numărul mare de instituții cu responsabilități în managementul riscului la inundații, se va avea în vedere armonizarea acestora cu prevederile proiectului revizuit al Strategiei naționale de management al riscului la inundații pe termen mediu și lung și în concordanță cu planul de implementare aferent (v. anexa care conține Planul de acțiune - defalcat pe măsuri / acțiuni, instituții responsabile, perioade de implementare și indicatori de monitorizare și etapele evaluării);</w:t>
            </w:r>
          </w:p>
          <w:p w14:paraId="1DA16AD3" w14:textId="4D222450"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 xml:space="preserve">încheierea de protocoale inter-instituționale (inițiator Ministerul Mediului, Apelor și Pădurilor), care să conducă la îmbunătățirea comunicării </w:t>
            </w:r>
            <w:proofErr w:type="spellStart"/>
            <w:r w:rsidRPr="006C3081">
              <w:rPr>
                <w:rFonts w:ascii="Times New Roman" w:hAnsi="Times New Roman" w:cs="Times New Roman"/>
                <w:color w:val="000000"/>
                <w:sz w:val="24"/>
                <w:szCs w:val="24"/>
              </w:rPr>
              <w:t>şi</w:t>
            </w:r>
            <w:proofErr w:type="spellEnd"/>
            <w:r w:rsidRPr="006C3081">
              <w:rPr>
                <w:rFonts w:ascii="Times New Roman" w:hAnsi="Times New Roman" w:cs="Times New Roman"/>
                <w:color w:val="000000"/>
                <w:sz w:val="24"/>
                <w:szCs w:val="24"/>
              </w:rPr>
              <w:t xml:space="preserve"> cooperării între ministerele cu atribuții în implementarea măsurilor / acțiunilor prevăzute în Planul de acțiune (inclusiv prin prevederea unor proceduri de lucru);</w:t>
            </w:r>
          </w:p>
          <w:p w14:paraId="548BEA88" w14:textId="77777777"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 xml:space="preserve">continuarea consolidării capacității administrative a Direcțiilor / Departamentelor Tehnice de specialitate din cadrul M.M.A.P. și a A.N.A.R. prin organizarea constantă de cursuri de formare și perfecționare profesională; </w:t>
            </w:r>
          </w:p>
          <w:p w14:paraId="16B140FF" w14:textId="77777777"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 xml:space="preserve">asigurarea personalului operativ A.N.A.R. la un nivel optim, precum și a unui nivel de salarizare competitiv comparativ cu alte autorități ale statului; implementarea </w:t>
            </w:r>
            <w:r w:rsidRPr="006C3081">
              <w:rPr>
                <w:rFonts w:ascii="Times New Roman" w:eastAsia="Times New Roman" w:hAnsi="Times New Roman" w:cs="Times New Roman"/>
                <w:color w:val="000000"/>
                <w:sz w:val="24"/>
                <w:szCs w:val="24"/>
              </w:rPr>
              <w:t>măsurilor privind</w:t>
            </w:r>
            <w:r w:rsidRPr="006C3081">
              <w:rPr>
                <w:rFonts w:ascii="Times New Roman" w:hAnsi="Times New Roman" w:cs="Times New Roman"/>
                <w:color w:val="000000"/>
                <w:sz w:val="24"/>
                <w:szCs w:val="24"/>
              </w:rPr>
              <w:t xml:space="preserve"> exploatarea în siguranță a infrastructurii de apărare împotriva inundațiilor, </w:t>
            </w:r>
            <w:r w:rsidRPr="006C3081">
              <w:rPr>
                <w:rFonts w:ascii="Times New Roman" w:hAnsi="Times New Roman" w:cs="Times New Roman"/>
                <w:color w:val="000000"/>
                <w:sz w:val="24"/>
                <w:szCs w:val="24"/>
              </w:rPr>
              <w:lastRenderedPageBreak/>
              <w:t>realizarea de noi investiții, precum și întreținerea infrastructurii de apărare existente necesită, pe lângă un efort financiar substanțial, și o resursă umană cu o pregătire superioară și calificată în acest sens</w:t>
            </w:r>
            <w:r w:rsidRPr="006C3081">
              <w:rPr>
                <w:rFonts w:ascii="Times New Roman" w:eastAsia="Times New Roman" w:hAnsi="Times New Roman" w:cs="Times New Roman"/>
                <w:color w:val="000000"/>
                <w:sz w:val="24"/>
                <w:szCs w:val="24"/>
              </w:rPr>
              <w:t xml:space="preserve"> (în</w:t>
            </w:r>
            <w:r w:rsidRPr="006C3081">
              <w:rPr>
                <w:rFonts w:ascii="Times New Roman" w:hAnsi="Times New Roman" w:cs="Times New Roman"/>
                <w:color w:val="000000"/>
                <w:sz w:val="24"/>
                <w:szCs w:val="24"/>
              </w:rPr>
              <w:t xml:space="preserve"> prezent, domeniul gospodăririi apelor se confruntă cu un deficit important de personal</w:t>
            </w:r>
            <w:r w:rsidRPr="006C3081">
              <w:rPr>
                <w:rFonts w:ascii="Times New Roman" w:eastAsia="Times New Roman" w:hAnsi="Times New Roman" w:cs="Times New Roman"/>
                <w:color w:val="000000"/>
                <w:sz w:val="24"/>
                <w:szCs w:val="24"/>
              </w:rPr>
              <w:t xml:space="preserve">, de </w:t>
            </w:r>
            <w:r w:rsidRPr="006C3081">
              <w:rPr>
                <w:rFonts w:ascii="Times New Roman" w:hAnsi="Times New Roman" w:cs="Times New Roman"/>
                <w:color w:val="000000"/>
                <w:sz w:val="24"/>
                <w:szCs w:val="24"/>
              </w:rPr>
              <w:t>cca. 30%</w:t>
            </w:r>
            <w:r w:rsidRPr="006C3081">
              <w:rPr>
                <w:rFonts w:ascii="Times New Roman" w:eastAsia="Times New Roman" w:hAnsi="Times New Roman" w:cs="Times New Roman"/>
                <w:color w:val="000000"/>
                <w:sz w:val="24"/>
                <w:szCs w:val="24"/>
              </w:rPr>
              <w:t>,</w:t>
            </w:r>
            <w:r w:rsidRPr="006C3081">
              <w:rPr>
                <w:rFonts w:ascii="Times New Roman" w:hAnsi="Times New Roman" w:cs="Times New Roman"/>
                <w:color w:val="000000"/>
                <w:sz w:val="24"/>
                <w:szCs w:val="24"/>
              </w:rPr>
              <w:t xml:space="preserve"> atât la nivel central, cât și în teritoriu, atât cu pregătire tehnică medie, cât și de nivel superior</w:t>
            </w:r>
            <w:r w:rsidRPr="006C3081">
              <w:rPr>
                <w:rFonts w:ascii="Times New Roman" w:eastAsia="Times New Roman" w:hAnsi="Times New Roman" w:cs="Times New Roman"/>
                <w:color w:val="000000"/>
                <w:sz w:val="24"/>
                <w:szCs w:val="24"/>
              </w:rPr>
              <w:t>);</w:t>
            </w:r>
          </w:p>
          <w:p w14:paraId="29172518" w14:textId="77777777"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organizarea de sesiuni de instruire pentru reprezentanții autorităților centrale și locale cu responsabilități în domeniul managementului riscului la inundații, precum și pentru consultanții din domeniu, cu precădere ingineri proiectanți; în sectorul privat, companiile din domeniul proiectării, construcțiilor și managementului riscului la inundații vor trebui să dețină cunoștințe cu privire la modul de identificare și evaluare a opțiunilor / alternativelor (luând în considerare atât măsuri structurale, tradiționale, cât și măsuri verzi), să integreze efectele schimbărilor climatice în cartografierea hazardului și riscului la inundații, precum și în proiectarea soluțiilor constructive;</w:t>
            </w:r>
          </w:p>
          <w:p w14:paraId="77F6D4DE" w14:textId="77777777" w:rsidR="00220FB6" w:rsidRPr="006C3081" w:rsidRDefault="00220FB6" w:rsidP="00220FB6">
            <w:pPr>
              <w:pStyle w:val="ListParagraph"/>
              <w:widowControl w:val="0"/>
              <w:numPr>
                <w:ilvl w:val="0"/>
                <w:numId w:val="16"/>
              </w:numPr>
              <w:ind w:left="90" w:right="60" w:firstLine="0"/>
              <w:contextualSpacing/>
              <w:jc w:val="both"/>
              <w:rPr>
                <w:rFonts w:ascii="Times New Roman" w:hAnsi="Times New Roman" w:cs="Times New Roman"/>
                <w:color w:val="000000"/>
                <w:sz w:val="24"/>
                <w:szCs w:val="24"/>
              </w:rPr>
            </w:pPr>
            <w:r w:rsidRPr="006C3081">
              <w:rPr>
                <w:rFonts w:ascii="Times New Roman" w:hAnsi="Times New Roman" w:cs="Times New Roman"/>
                <w:color w:val="000000"/>
                <w:sz w:val="24"/>
                <w:szCs w:val="24"/>
              </w:rPr>
              <w:t xml:space="preserve">realizarea de parteneriate cu instituții de învățământ superior pentru compatibilizarea </w:t>
            </w:r>
            <w:proofErr w:type="spellStart"/>
            <w:r w:rsidRPr="006C3081">
              <w:rPr>
                <w:rFonts w:ascii="Times New Roman" w:hAnsi="Times New Roman" w:cs="Times New Roman"/>
                <w:color w:val="000000"/>
                <w:sz w:val="24"/>
                <w:szCs w:val="24"/>
              </w:rPr>
              <w:t>curriculei</w:t>
            </w:r>
            <w:proofErr w:type="spellEnd"/>
            <w:r w:rsidRPr="006C3081">
              <w:rPr>
                <w:rFonts w:ascii="Times New Roman" w:hAnsi="Times New Roman" w:cs="Times New Roman"/>
                <w:color w:val="000000"/>
                <w:sz w:val="24"/>
                <w:szCs w:val="24"/>
              </w:rPr>
              <w:t xml:space="preserve"> academice cu cerințele specifice posturilor din domeniu.</w:t>
            </w:r>
          </w:p>
          <w:p w14:paraId="53514FF8" w14:textId="77777777" w:rsidR="00220FB6" w:rsidRPr="006C3081" w:rsidRDefault="00220FB6" w:rsidP="00220FB6">
            <w:pPr>
              <w:widowControl w:val="0"/>
              <w:ind w:left="90" w:right="60"/>
              <w:contextualSpacing/>
              <w:rPr>
                <w:color w:val="000000"/>
                <w:kern w:val="2"/>
                <w:szCs w:val="24"/>
                <w:highlight w:val="yellow"/>
                <w:lang w:val="ro-RO"/>
              </w:rPr>
            </w:pPr>
            <w:r w:rsidRPr="006C3081">
              <w:rPr>
                <w:color w:val="000000"/>
                <w:szCs w:val="24"/>
                <w:lang w:val="ro-RO"/>
              </w:rPr>
              <w:t>Implementarea Planului de Acțiune necesită o abordare care să permită o sinergie între măsurile legislative, instituționale, investiționale și de conștientizare propuse.</w:t>
            </w:r>
          </w:p>
          <w:p w14:paraId="7175B8BA" w14:textId="43028EFF" w:rsidR="00220FB6" w:rsidRPr="006C3081" w:rsidRDefault="00220FB6" w:rsidP="00220FB6">
            <w:pPr>
              <w:widowControl w:val="0"/>
              <w:spacing w:before="120"/>
              <w:ind w:left="90" w:right="60"/>
              <w:contextualSpacing/>
              <w:rPr>
                <w:color w:val="000000"/>
                <w:szCs w:val="24"/>
                <w:lang w:val="ro-RO"/>
              </w:rPr>
            </w:pPr>
            <w:r w:rsidRPr="006C3081">
              <w:rPr>
                <w:color w:val="000000"/>
                <w:szCs w:val="24"/>
                <w:lang w:val="ro-RO"/>
              </w:rPr>
              <w:t xml:space="preserve">Pentru toate cele </w:t>
            </w:r>
            <w:r w:rsidRPr="006C3081">
              <w:rPr>
                <w:b/>
                <w:bCs/>
                <w:color w:val="000000"/>
                <w:szCs w:val="24"/>
                <w:lang w:val="ro-RO"/>
              </w:rPr>
              <w:t xml:space="preserve">93 de acțiuni </w:t>
            </w:r>
            <w:r w:rsidRPr="006C3081">
              <w:rPr>
                <w:color w:val="000000"/>
                <w:szCs w:val="24"/>
                <w:lang w:val="ro-RO"/>
              </w:rPr>
              <w:t>prevăzute în Planul de acțiune al S.N.M.R.I., s-au propus:</w:t>
            </w:r>
          </w:p>
          <w:p w14:paraId="4C3CBD64" w14:textId="77777777" w:rsidR="00220FB6" w:rsidRPr="006C3081" w:rsidRDefault="00220FB6" w:rsidP="00220FB6">
            <w:pPr>
              <w:widowControl w:val="0"/>
              <w:numPr>
                <w:ilvl w:val="1"/>
                <w:numId w:val="19"/>
              </w:numPr>
              <w:tabs>
                <w:tab w:val="clear" w:pos="1440"/>
                <w:tab w:val="num" w:pos="781"/>
              </w:tabs>
              <w:spacing w:before="120"/>
              <w:ind w:left="90" w:right="60" w:firstLine="0"/>
              <w:contextualSpacing/>
              <w:rPr>
                <w:color w:val="000000"/>
                <w:szCs w:val="24"/>
                <w:lang w:val="ro-RO"/>
              </w:rPr>
            </w:pPr>
            <w:r w:rsidRPr="006C3081">
              <w:rPr>
                <w:b/>
                <w:bCs/>
                <w:color w:val="000000"/>
                <w:szCs w:val="24"/>
                <w:lang w:val="ro-RO"/>
              </w:rPr>
              <w:t xml:space="preserve">indicatori de progres (indicatori de monitorizare) </w:t>
            </w:r>
            <w:r w:rsidRPr="006C3081">
              <w:rPr>
                <w:color w:val="000000"/>
                <w:szCs w:val="24"/>
                <w:lang w:val="ro-RO"/>
              </w:rPr>
              <w:t xml:space="preserve">– </w:t>
            </w:r>
            <w:r w:rsidRPr="006C3081">
              <w:rPr>
                <w:i/>
                <w:iCs/>
                <w:color w:val="000000"/>
                <w:szCs w:val="24"/>
                <w:lang w:val="ro-RO"/>
              </w:rPr>
              <w:t xml:space="preserve">se definesc pentru fiecare măsură / acțiune din Planul de Acțiune asociat Strategiei și sunt </w:t>
            </w:r>
            <w:r w:rsidRPr="006C3081">
              <w:rPr>
                <w:color w:val="000000"/>
                <w:szCs w:val="24"/>
                <w:lang w:val="ro-RO"/>
              </w:rPr>
              <w:t xml:space="preserve">exprimați sub formă de </w:t>
            </w:r>
            <w:r w:rsidRPr="006C3081">
              <w:rPr>
                <w:i/>
                <w:iCs/>
                <w:color w:val="000000"/>
                <w:szCs w:val="24"/>
                <w:lang w:val="ro-RO"/>
              </w:rPr>
              <w:t>indicatori calitativi sau statistici</w:t>
            </w:r>
            <w:r w:rsidRPr="006C3081">
              <w:rPr>
                <w:color w:val="000000"/>
                <w:szCs w:val="24"/>
                <w:lang w:val="ro-RO"/>
              </w:rPr>
              <w:t>, pe baza cărora se poate face o evaluare cantitativă a gradului de îndeplinire / realizare a măsurilor;</w:t>
            </w:r>
          </w:p>
          <w:p w14:paraId="513A8F0D" w14:textId="77777777" w:rsidR="00220FB6" w:rsidRPr="006C3081" w:rsidRDefault="00220FB6" w:rsidP="00220FB6">
            <w:pPr>
              <w:widowControl w:val="0"/>
              <w:numPr>
                <w:ilvl w:val="1"/>
                <w:numId w:val="19"/>
              </w:numPr>
              <w:tabs>
                <w:tab w:val="clear" w:pos="1440"/>
                <w:tab w:val="num" w:pos="781"/>
              </w:tabs>
              <w:spacing w:before="120"/>
              <w:ind w:left="90" w:right="60" w:firstLine="0"/>
              <w:contextualSpacing/>
              <w:rPr>
                <w:color w:val="000000"/>
                <w:szCs w:val="24"/>
                <w:lang w:val="ro-RO"/>
              </w:rPr>
            </w:pPr>
            <w:r w:rsidRPr="006C3081">
              <w:rPr>
                <w:b/>
                <w:bCs/>
                <w:color w:val="000000"/>
                <w:szCs w:val="24"/>
                <w:lang w:val="ro-RO"/>
              </w:rPr>
              <w:t xml:space="preserve">trei tipuri de evaluare </w:t>
            </w:r>
            <w:r w:rsidRPr="006C3081">
              <w:rPr>
                <w:color w:val="000000"/>
                <w:szCs w:val="24"/>
                <w:lang w:val="ro-RO"/>
              </w:rPr>
              <w:t xml:space="preserve">prin care se furnizează </w:t>
            </w:r>
            <w:r w:rsidRPr="006C3081">
              <w:rPr>
                <w:b/>
                <w:bCs/>
                <w:color w:val="000000"/>
                <w:szCs w:val="24"/>
                <w:lang w:val="ro-RO"/>
              </w:rPr>
              <w:t>progresul măsurii / acțiunii respective: </w:t>
            </w:r>
          </w:p>
          <w:p w14:paraId="4E8ECAE0" w14:textId="77777777" w:rsidR="00220FB6" w:rsidRPr="006C3081" w:rsidRDefault="00220FB6" w:rsidP="00220FB6">
            <w:pPr>
              <w:widowControl w:val="0"/>
              <w:numPr>
                <w:ilvl w:val="2"/>
                <w:numId w:val="19"/>
              </w:numPr>
              <w:tabs>
                <w:tab w:val="clear" w:pos="2160"/>
              </w:tabs>
              <w:spacing w:before="120"/>
              <w:ind w:left="90" w:right="60" w:firstLine="0"/>
              <w:contextualSpacing/>
              <w:rPr>
                <w:color w:val="000000"/>
                <w:szCs w:val="24"/>
                <w:lang w:val="ro-RO"/>
              </w:rPr>
            </w:pPr>
            <w:r w:rsidRPr="006C3081">
              <w:rPr>
                <w:b/>
                <w:bCs/>
                <w:color w:val="000000"/>
                <w:szCs w:val="24"/>
                <w:lang w:val="ro-RO"/>
              </w:rPr>
              <w:t xml:space="preserve">evaluare cantitativă </w:t>
            </w:r>
            <w:r w:rsidRPr="006C3081">
              <w:rPr>
                <w:color w:val="000000"/>
                <w:szCs w:val="24"/>
                <w:lang w:val="ro-RO"/>
              </w:rPr>
              <w:t>–</w:t>
            </w:r>
            <w:r w:rsidRPr="006C3081">
              <w:rPr>
                <w:b/>
                <w:bCs/>
                <w:color w:val="000000"/>
                <w:szCs w:val="24"/>
                <w:lang w:val="ro-RO"/>
              </w:rPr>
              <w:t xml:space="preserve"> </w:t>
            </w:r>
            <w:r w:rsidRPr="006C3081">
              <w:rPr>
                <w:color w:val="000000"/>
                <w:szCs w:val="24"/>
                <w:lang w:val="ro-RO"/>
              </w:rPr>
              <w:t>gradul de îndeplinire a măsurilor este exprimat printr-o evaluare cantitativă, clară, riguroasă, eficientă. În acest scop se utilizează indicatorii de progres (indicatorii de monitorizare) propuși pentru fiecare acțiune. Pentru descrierea stadiului, se poate utiliza un singur indicator sau mai mulți (situația de utilizare a mai multor indicatori se pretează în special când responsabilitatea implementării măsurii respective revine mai multor autorități);</w:t>
            </w:r>
          </w:p>
          <w:p w14:paraId="5709D574" w14:textId="77777777" w:rsidR="00220FB6" w:rsidRPr="006C3081" w:rsidRDefault="00220FB6" w:rsidP="00220FB6">
            <w:pPr>
              <w:widowControl w:val="0"/>
              <w:numPr>
                <w:ilvl w:val="2"/>
                <w:numId w:val="19"/>
              </w:numPr>
              <w:tabs>
                <w:tab w:val="clear" w:pos="2160"/>
              </w:tabs>
              <w:spacing w:before="120"/>
              <w:ind w:left="90" w:right="60" w:firstLine="0"/>
              <w:contextualSpacing/>
              <w:rPr>
                <w:color w:val="000000"/>
                <w:szCs w:val="24"/>
                <w:lang w:val="ro-RO"/>
              </w:rPr>
            </w:pPr>
            <w:r w:rsidRPr="006C3081">
              <w:rPr>
                <w:b/>
                <w:bCs/>
                <w:color w:val="000000"/>
                <w:szCs w:val="24"/>
                <w:lang w:val="ro-RO"/>
              </w:rPr>
              <w:t xml:space="preserve">evaluare calitativă (descriptivă) </w:t>
            </w:r>
            <w:r w:rsidRPr="006C3081">
              <w:rPr>
                <w:color w:val="000000"/>
                <w:szCs w:val="24"/>
                <w:lang w:val="ro-RO"/>
              </w:rPr>
              <w:t>– se descrie progresul măsurii printr-un text având maxim 1000 caractere, prin care se oferă câteva explicații sumare cu privire la măsura evaluată;</w:t>
            </w:r>
          </w:p>
          <w:p w14:paraId="2F4EBA6E" w14:textId="77777777" w:rsidR="00220FB6" w:rsidRPr="006C3081" w:rsidRDefault="00220FB6" w:rsidP="00220FB6">
            <w:pPr>
              <w:widowControl w:val="0"/>
              <w:numPr>
                <w:ilvl w:val="2"/>
                <w:numId w:val="19"/>
              </w:numPr>
              <w:tabs>
                <w:tab w:val="clear" w:pos="2160"/>
              </w:tabs>
              <w:spacing w:before="120"/>
              <w:ind w:left="90" w:right="60" w:firstLine="0"/>
              <w:contextualSpacing/>
              <w:rPr>
                <w:color w:val="000000"/>
                <w:szCs w:val="24"/>
                <w:lang w:val="ro-RO"/>
              </w:rPr>
            </w:pPr>
            <w:r w:rsidRPr="006C3081">
              <w:rPr>
                <w:b/>
                <w:bCs/>
                <w:color w:val="000000"/>
                <w:szCs w:val="24"/>
                <w:lang w:val="ro-RO"/>
              </w:rPr>
              <w:t xml:space="preserve">evaluare procentuală </w:t>
            </w:r>
            <w:r w:rsidRPr="006C3081">
              <w:rPr>
                <w:color w:val="000000"/>
                <w:szCs w:val="24"/>
                <w:lang w:val="ro-RO"/>
              </w:rPr>
              <w:t xml:space="preserve">– gradul de îndeplinire a măsurilor este exprimat printr-o evaluare de tip procentual (situată la </w:t>
            </w:r>
            <w:proofErr w:type="spellStart"/>
            <w:r w:rsidRPr="006C3081">
              <w:rPr>
                <w:color w:val="000000"/>
                <w:szCs w:val="24"/>
                <w:lang w:val="ro-RO"/>
              </w:rPr>
              <w:t>la</w:t>
            </w:r>
            <w:proofErr w:type="spellEnd"/>
            <w:r w:rsidRPr="006C3081">
              <w:rPr>
                <w:color w:val="000000"/>
                <w:szCs w:val="24"/>
                <w:lang w:val="ro-RO"/>
              </w:rPr>
              <w:t xml:space="preserve"> limita dintre o evaluare cantitativă și una calitativă), cu posibilitate de cuantificare sub forma a trei grade de îndeplinire: neînceput, în progres, finalizat. Claselor ,,neînceput”, respectiv ,,finalizat” li se </w:t>
            </w:r>
            <w:proofErr w:type="spellStart"/>
            <w:r w:rsidRPr="006C3081">
              <w:rPr>
                <w:color w:val="000000"/>
                <w:szCs w:val="24"/>
                <w:lang w:val="ro-RO"/>
              </w:rPr>
              <w:t>asociaza</w:t>
            </w:r>
            <w:proofErr w:type="spellEnd"/>
            <w:r w:rsidRPr="006C3081">
              <w:rPr>
                <w:color w:val="000000"/>
                <w:szCs w:val="24"/>
                <w:lang w:val="ro-RO"/>
              </w:rPr>
              <w:t xml:space="preserve"> procentele 0%, respectiv 100%. Clasa „în progres” este împărțită în trei sub-clase / sub-grade de realizare: progres redus / mediu / semnificativ.</w:t>
            </w:r>
          </w:p>
          <w:p w14:paraId="7A52C807" w14:textId="77777777" w:rsidR="00220FB6" w:rsidRPr="006C3081" w:rsidRDefault="00220FB6" w:rsidP="00220FB6">
            <w:pPr>
              <w:tabs>
                <w:tab w:val="left" w:pos="8421"/>
              </w:tabs>
              <w:ind w:left="90" w:right="60"/>
              <w:rPr>
                <w:rFonts w:eastAsia="Times New Roman"/>
                <w:b/>
                <w:bCs/>
                <w:color w:val="000000"/>
                <w:szCs w:val="24"/>
                <w:lang w:val="ro-RO"/>
              </w:rPr>
            </w:pPr>
          </w:p>
          <w:p w14:paraId="54D0ABFA" w14:textId="19573D2D" w:rsidR="00220FB6" w:rsidRPr="006C3081" w:rsidRDefault="00220FB6" w:rsidP="00220FB6">
            <w:pPr>
              <w:tabs>
                <w:tab w:val="left" w:pos="8421"/>
              </w:tabs>
              <w:ind w:left="90" w:right="60"/>
              <w:rPr>
                <w:rFonts w:eastAsia="Times New Roman"/>
                <w:bCs/>
                <w:color w:val="000000"/>
                <w:szCs w:val="24"/>
                <w:lang w:val="ro-RO"/>
              </w:rPr>
            </w:pPr>
            <w:r w:rsidRPr="006C3081">
              <w:rPr>
                <w:rFonts w:eastAsia="Times New Roman"/>
                <w:b/>
                <w:bCs/>
                <w:color w:val="000000"/>
                <w:szCs w:val="24"/>
                <w:lang w:val="ro-RO"/>
              </w:rPr>
              <w:lastRenderedPageBreak/>
              <w:t xml:space="preserve">Evaluarea gradului de îndeplinire / realizare a măsurilor propuse în cadrul S.N.M.R.I. prin </w:t>
            </w:r>
            <w:r w:rsidRPr="006C3081">
              <w:rPr>
                <w:rFonts w:eastAsia="Times New Roman"/>
                <w:bCs/>
                <w:color w:val="000000"/>
                <w:szCs w:val="24"/>
                <w:lang w:val="ro-RO"/>
              </w:rPr>
              <w:t>H</w:t>
            </w:r>
            <w:r>
              <w:rPr>
                <w:rFonts w:eastAsia="Times New Roman"/>
                <w:bCs/>
                <w:color w:val="000000"/>
                <w:szCs w:val="24"/>
                <w:lang w:val="ro-RO"/>
              </w:rPr>
              <w:t xml:space="preserve">otărârea </w:t>
            </w:r>
            <w:r w:rsidRPr="006C3081">
              <w:rPr>
                <w:rFonts w:eastAsia="Times New Roman"/>
                <w:bCs/>
                <w:color w:val="000000"/>
                <w:szCs w:val="24"/>
                <w:lang w:val="ro-RO"/>
              </w:rPr>
              <w:t>G</w:t>
            </w:r>
            <w:r>
              <w:rPr>
                <w:rFonts w:eastAsia="Times New Roman"/>
                <w:bCs/>
                <w:color w:val="000000"/>
                <w:szCs w:val="24"/>
                <w:lang w:val="ro-RO"/>
              </w:rPr>
              <w:t>uvernului nr.</w:t>
            </w:r>
            <w:r w:rsidRPr="006C3081">
              <w:rPr>
                <w:rFonts w:eastAsia="Times New Roman"/>
                <w:bCs/>
                <w:color w:val="000000"/>
                <w:szCs w:val="24"/>
                <w:lang w:val="ro-RO"/>
              </w:rPr>
              <w:t xml:space="preserve"> 846/2010</w:t>
            </w:r>
          </w:p>
          <w:p w14:paraId="64628456" w14:textId="524125CC" w:rsidR="00220FB6" w:rsidRPr="006C3081" w:rsidRDefault="00220FB6" w:rsidP="00220FB6">
            <w:pPr>
              <w:numPr>
                <w:ilvl w:val="0"/>
                <w:numId w:val="20"/>
              </w:numPr>
              <w:tabs>
                <w:tab w:val="clear" w:pos="720"/>
                <w:tab w:val="num" w:pos="361"/>
                <w:tab w:val="left" w:pos="8421"/>
              </w:tabs>
              <w:ind w:left="90" w:right="60" w:hanging="270"/>
              <w:rPr>
                <w:rFonts w:eastAsia="Times New Roman"/>
                <w:bCs/>
                <w:color w:val="000000"/>
                <w:szCs w:val="24"/>
                <w:lang w:val="ro-RO"/>
              </w:rPr>
            </w:pPr>
            <w:r w:rsidRPr="006C3081">
              <w:rPr>
                <w:rFonts w:eastAsia="Times New Roman"/>
                <w:bCs/>
                <w:color w:val="000000"/>
                <w:szCs w:val="24"/>
                <w:lang w:val="ro-RO"/>
              </w:rPr>
              <w:t xml:space="preserve">Planul de </w:t>
            </w:r>
            <w:r>
              <w:rPr>
                <w:rFonts w:eastAsia="Times New Roman"/>
                <w:bCs/>
                <w:color w:val="000000"/>
                <w:szCs w:val="24"/>
                <w:lang w:val="ro-RO"/>
              </w:rPr>
              <w:t>a</w:t>
            </w:r>
            <w:r w:rsidRPr="006C3081">
              <w:rPr>
                <w:rFonts w:eastAsia="Times New Roman"/>
                <w:bCs/>
                <w:color w:val="000000"/>
                <w:szCs w:val="24"/>
                <w:lang w:val="ro-RO"/>
              </w:rPr>
              <w:t xml:space="preserve">cțiune </w:t>
            </w:r>
            <w:r>
              <w:rPr>
                <w:rFonts w:eastAsia="Times New Roman"/>
                <w:bCs/>
                <w:color w:val="000000"/>
                <w:szCs w:val="24"/>
                <w:lang w:val="ro-RO"/>
              </w:rPr>
              <w:t>aprobat prin</w:t>
            </w:r>
            <w:r w:rsidRPr="006C3081">
              <w:rPr>
                <w:rFonts w:eastAsia="Times New Roman"/>
                <w:bCs/>
                <w:color w:val="000000"/>
                <w:szCs w:val="24"/>
                <w:lang w:val="ro-RO"/>
              </w:rPr>
              <w:t xml:space="preserve"> H</w:t>
            </w:r>
            <w:r>
              <w:rPr>
                <w:rFonts w:eastAsia="Times New Roman"/>
                <w:bCs/>
                <w:color w:val="000000"/>
                <w:szCs w:val="24"/>
                <w:lang w:val="ro-RO"/>
              </w:rPr>
              <w:t xml:space="preserve">otărârea </w:t>
            </w:r>
            <w:r w:rsidRPr="006C3081">
              <w:rPr>
                <w:rFonts w:eastAsia="Times New Roman"/>
                <w:bCs/>
                <w:color w:val="000000"/>
                <w:szCs w:val="24"/>
                <w:lang w:val="ro-RO"/>
              </w:rPr>
              <w:t>G</w:t>
            </w:r>
            <w:r>
              <w:rPr>
                <w:rFonts w:eastAsia="Times New Roman"/>
                <w:bCs/>
                <w:color w:val="000000"/>
                <w:szCs w:val="24"/>
                <w:lang w:val="ro-RO"/>
              </w:rPr>
              <w:t>uvernului nr.</w:t>
            </w:r>
            <w:r w:rsidRPr="006C3081">
              <w:rPr>
                <w:rFonts w:eastAsia="Times New Roman"/>
                <w:bCs/>
                <w:color w:val="000000"/>
                <w:szCs w:val="24"/>
                <w:lang w:val="ro-RO"/>
              </w:rPr>
              <w:t xml:space="preserve"> 846/2010 include </w:t>
            </w:r>
            <w:r w:rsidRPr="006C3081">
              <w:rPr>
                <w:rFonts w:eastAsia="Times New Roman"/>
                <w:b/>
                <w:bCs/>
                <w:color w:val="000000"/>
                <w:szCs w:val="24"/>
                <w:lang w:val="ro-RO"/>
              </w:rPr>
              <w:t>23</w:t>
            </w:r>
            <w:r w:rsidRPr="006C3081">
              <w:rPr>
                <w:rFonts w:eastAsia="Times New Roman"/>
                <w:bCs/>
                <w:color w:val="000000"/>
                <w:szCs w:val="24"/>
                <w:lang w:val="ro-RO"/>
              </w:rPr>
              <w:t xml:space="preserve"> </w:t>
            </w:r>
            <w:r w:rsidRPr="006C3081">
              <w:rPr>
                <w:rFonts w:eastAsia="Times New Roman"/>
                <w:b/>
                <w:bCs/>
                <w:color w:val="000000"/>
                <w:szCs w:val="24"/>
                <w:lang w:val="ro-RO"/>
              </w:rPr>
              <w:t>de</w:t>
            </w:r>
            <w:r w:rsidRPr="006C3081">
              <w:rPr>
                <w:rFonts w:eastAsia="Times New Roman"/>
                <w:bCs/>
                <w:color w:val="000000"/>
                <w:szCs w:val="24"/>
                <w:lang w:val="ro-RO"/>
              </w:rPr>
              <w:t xml:space="preserve"> </w:t>
            </w:r>
            <w:r w:rsidRPr="006C3081">
              <w:rPr>
                <w:rFonts w:eastAsia="Times New Roman"/>
                <w:b/>
                <w:bCs/>
                <w:color w:val="000000"/>
                <w:szCs w:val="24"/>
                <w:lang w:val="ro-RO"/>
              </w:rPr>
              <w:t>,,măsuri umbrelă” (clase de acțiuni A – W)</w:t>
            </w:r>
            <w:r w:rsidRPr="006C3081">
              <w:rPr>
                <w:rFonts w:eastAsia="Times New Roman"/>
                <w:bCs/>
                <w:color w:val="000000"/>
                <w:szCs w:val="24"/>
                <w:lang w:val="ro-RO"/>
              </w:rPr>
              <w:t xml:space="preserve">, acoperind </w:t>
            </w:r>
            <w:r w:rsidRPr="006C3081">
              <w:rPr>
                <w:rFonts w:eastAsia="Times New Roman"/>
                <w:b/>
                <w:bCs/>
                <w:color w:val="000000"/>
                <w:szCs w:val="24"/>
                <w:lang w:val="ro-RO"/>
              </w:rPr>
              <w:t>93 de acțiuni</w:t>
            </w:r>
            <w:r w:rsidRPr="006C3081">
              <w:rPr>
                <w:rFonts w:eastAsia="Times New Roman"/>
                <w:bCs/>
                <w:color w:val="000000"/>
                <w:szCs w:val="24"/>
                <w:lang w:val="ro-RO"/>
              </w:rPr>
              <w:t>; 51 de acțiuni din totalul celor 93 prevăzute în cadrul Planului de Acțiune (</w:t>
            </w:r>
            <w:r w:rsidRPr="006C3081">
              <w:rPr>
                <w:rFonts w:eastAsia="Times New Roman"/>
                <w:b/>
                <w:bCs/>
                <w:color w:val="000000"/>
                <w:szCs w:val="24"/>
                <w:lang w:val="ro-RO"/>
              </w:rPr>
              <w:t>55%</w:t>
            </w:r>
            <w:r w:rsidRPr="006C3081">
              <w:rPr>
                <w:rFonts w:eastAsia="Times New Roman"/>
                <w:bCs/>
                <w:color w:val="000000"/>
                <w:szCs w:val="24"/>
                <w:lang w:val="ro-RO"/>
              </w:rPr>
              <w:t xml:space="preserve">) au un </w:t>
            </w:r>
            <w:r w:rsidRPr="006C3081">
              <w:rPr>
                <w:rFonts w:eastAsia="Times New Roman"/>
                <w:b/>
                <w:bCs/>
                <w:color w:val="000000"/>
                <w:szCs w:val="24"/>
                <w:lang w:val="ro-RO"/>
              </w:rPr>
              <w:t xml:space="preserve">orizont de implementare </w:t>
            </w:r>
            <w:r w:rsidRPr="006C3081">
              <w:rPr>
                <w:rFonts w:eastAsia="Times New Roman"/>
                <w:bCs/>
                <w:color w:val="000000"/>
                <w:szCs w:val="24"/>
                <w:lang w:val="ro-RO"/>
              </w:rPr>
              <w:t>cuprins între</w:t>
            </w:r>
            <w:r w:rsidRPr="006C3081">
              <w:rPr>
                <w:rFonts w:eastAsia="Times New Roman"/>
                <w:b/>
                <w:bCs/>
                <w:color w:val="000000"/>
                <w:szCs w:val="24"/>
                <w:lang w:val="ro-RO"/>
              </w:rPr>
              <w:t xml:space="preserve"> 2010 – 2035</w:t>
            </w:r>
          </w:p>
          <w:p w14:paraId="327BD460" w14:textId="77777777" w:rsidR="00220FB6" w:rsidRPr="006C3081" w:rsidRDefault="00220FB6" w:rsidP="00220FB6">
            <w:pPr>
              <w:numPr>
                <w:ilvl w:val="0"/>
                <w:numId w:val="20"/>
              </w:numPr>
              <w:tabs>
                <w:tab w:val="clear" w:pos="720"/>
                <w:tab w:val="num" w:pos="361"/>
                <w:tab w:val="left" w:pos="8421"/>
              </w:tabs>
              <w:ind w:left="90" w:right="60" w:hanging="270"/>
              <w:rPr>
                <w:rFonts w:eastAsia="Times New Roman"/>
                <w:bCs/>
                <w:color w:val="000000"/>
                <w:szCs w:val="24"/>
                <w:lang w:val="ro-RO"/>
              </w:rPr>
            </w:pPr>
            <w:r w:rsidRPr="006C3081">
              <w:rPr>
                <w:rFonts w:eastAsia="Times New Roman"/>
                <w:b/>
                <w:bCs/>
                <w:color w:val="000000"/>
                <w:szCs w:val="24"/>
                <w:lang w:val="ro-RO"/>
              </w:rPr>
              <w:t xml:space="preserve">Toate acțiunile sunt începute </w:t>
            </w:r>
            <w:r w:rsidRPr="006C3081">
              <w:rPr>
                <w:rFonts w:eastAsia="Times New Roman"/>
                <w:bCs/>
                <w:color w:val="000000"/>
                <w:szCs w:val="24"/>
                <w:lang w:val="ro-RO"/>
              </w:rPr>
              <w:t xml:space="preserve">(aflate în </w:t>
            </w:r>
            <w:r w:rsidRPr="006C3081">
              <w:rPr>
                <w:rFonts w:eastAsia="Times New Roman"/>
                <w:b/>
                <w:bCs/>
                <w:color w:val="000000"/>
                <w:szCs w:val="24"/>
                <w:lang w:val="ro-RO"/>
              </w:rPr>
              <w:t>diverse grade de realizare</w:t>
            </w:r>
            <w:r w:rsidRPr="006C3081">
              <w:rPr>
                <w:rFonts w:eastAsia="Times New Roman"/>
                <w:bCs/>
                <w:color w:val="000000"/>
                <w:szCs w:val="24"/>
                <w:lang w:val="ro-RO"/>
              </w:rPr>
              <w:t>)</w:t>
            </w:r>
          </w:p>
          <w:p w14:paraId="538F2763" w14:textId="77777777" w:rsidR="00220FB6" w:rsidRPr="006C3081" w:rsidRDefault="00220FB6" w:rsidP="00220FB6">
            <w:pPr>
              <w:numPr>
                <w:ilvl w:val="0"/>
                <w:numId w:val="20"/>
              </w:numPr>
              <w:tabs>
                <w:tab w:val="clear" w:pos="720"/>
                <w:tab w:val="num" w:pos="361"/>
                <w:tab w:val="left" w:pos="8421"/>
              </w:tabs>
              <w:ind w:left="90" w:right="60" w:hanging="270"/>
              <w:rPr>
                <w:rFonts w:eastAsia="Times New Roman"/>
                <w:bCs/>
                <w:color w:val="000000"/>
                <w:szCs w:val="24"/>
                <w:lang w:val="ro-RO"/>
              </w:rPr>
            </w:pPr>
            <w:r w:rsidRPr="006C3081">
              <w:rPr>
                <w:rFonts w:eastAsia="Times New Roman"/>
                <w:bCs/>
                <w:color w:val="000000"/>
                <w:szCs w:val="24"/>
                <w:lang w:val="ro-RO"/>
              </w:rPr>
              <w:t>Din totalul celor 93 de acțiuni, </w:t>
            </w:r>
            <w:r w:rsidRPr="006C3081">
              <w:rPr>
                <w:rFonts w:eastAsia="Times New Roman"/>
                <w:b/>
                <w:bCs/>
                <w:color w:val="000000"/>
                <w:szCs w:val="24"/>
                <w:lang w:val="ro-RO"/>
              </w:rPr>
              <w:t>39 de acțiuni </w:t>
            </w:r>
            <w:r w:rsidRPr="006C3081">
              <w:rPr>
                <w:rFonts w:eastAsia="Times New Roman"/>
                <w:bCs/>
                <w:color w:val="000000"/>
                <w:szCs w:val="24"/>
                <w:lang w:val="ro-RO"/>
              </w:rPr>
              <w:t>sunt</w:t>
            </w:r>
            <w:r w:rsidRPr="006C3081">
              <w:rPr>
                <w:rFonts w:eastAsia="Times New Roman"/>
                <w:b/>
                <w:bCs/>
                <w:color w:val="000000"/>
                <w:szCs w:val="24"/>
                <w:lang w:val="ro-RO"/>
              </w:rPr>
              <w:t xml:space="preserve"> complet finalizate </w:t>
            </w:r>
            <w:r w:rsidRPr="006C3081">
              <w:rPr>
                <w:rFonts w:eastAsia="Times New Roman"/>
                <w:bCs/>
                <w:color w:val="000000"/>
                <w:szCs w:val="24"/>
                <w:lang w:val="ro-RO"/>
              </w:rPr>
              <w:t>(</w:t>
            </w:r>
            <w:r w:rsidRPr="006C3081">
              <w:rPr>
                <w:rFonts w:eastAsia="Times New Roman"/>
                <w:b/>
                <w:bCs/>
                <w:color w:val="000000"/>
                <w:szCs w:val="24"/>
                <w:lang w:val="ro-RO"/>
              </w:rPr>
              <w:t>42%</w:t>
            </w:r>
            <w:r w:rsidRPr="006C3081">
              <w:rPr>
                <w:rFonts w:eastAsia="Times New Roman"/>
                <w:bCs/>
                <w:color w:val="000000"/>
                <w:szCs w:val="24"/>
                <w:lang w:val="ro-RO"/>
              </w:rPr>
              <w:t>)</w:t>
            </w:r>
          </w:p>
          <w:p w14:paraId="7F83826C" w14:textId="35E6E9DE" w:rsidR="00220FB6" w:rsidRPr="007A7D7B" w:rsidRDefault="00220FB6" w:rsidP="00220FB6">
            <w:pPr>
              <w:numPr>
                <w:ilvl w:val="0"/>
                <w:numId w:val="31"/>
              </w:numPr>
              <w:autoSpaceDE w:val="0"/>
              <w:autoSpaceDN w:val="0"/>
              <w:adjustRightInd w:val="0"/>
              <w:spacing w:after="120"/>
              <w:ind w:left="90" w:right="60" w:firstLine="0"/>
              <w:rPr>
                <w:bCs/>
                <w:iCs/>
                <w:color w:val="FF0000"/>
                <w:lang w:val="ro-RO"/>
              </w:rPr>
            </w:pPr>
            <w:r w:rsidRPr="006C3081">
              <w:rPr>
                <w:rFonts w:eastAsia="Times New Roman"/>
                <w:b/>
                <w:bCs/>
                <w:color w:val="000000"/>
                <w:szCs w:val="24"/>
                <w:lang w:val="ro-RO"/>
              </w:rPr>
              <w:t>Procent integrat de realizare - cca 70%,</w:t>
            </w:r>
            <w:r w:rsidRPr="006C3081">
              <w:rPr>
                <w:rFonts w:eastAsia="Times New Roman"/>
                <w:bCs/>
                <w:color w:val="000000"/>
                <w:szCs w:val="24"/>
                <w:lang w:val="ro-RO"/>
              </w:rPr>
              <w:t xml:space="preserve"> valoare cumulată la nivelul întregului Plan de Acțiune (</w:t>
            </w:r>
            <w:r w:rsidRPr="006C3081">
              <w:rPr>
                <w:rFonts w:eastAsia="Times New Roman"/>
                <w:b/>
                <w:bCs/>
                <w:color w:val="000000"/>
                <w:szCs w:val="24"/>
                <w:lang w:val="ro-RO"/>
              </w:rPr>
              <w:t>valoare medie ponderata</w:t>
            </w:r>
            <w:r w:rsidRPr="006C3081">
              <w:rPr>
                <w:rFonts w:eastAsia="Times New Roman"/>
                <w:bCs/>
                <w:color w:val="000000"/>
                <w:szCs w:val="24"/>
                <w:lang w:val="ro-RO"/>
              </w:rPr>
              <w:t>, raportată la numărul total de acțiuni).</w:t>
            </w:r>
          </w:p>
        </w:tc>
      </w:tr>
      <w:tr w:rsidR="007A7D7B" w:rsidRPr="007A7D7B" w14:paraId="7369AA54" w14:textId="77777777" w:rsidTr="007A7D7B">
        <w:trPr>
          <w:trHeight w:val="275"/>
          <w:tblCellSpacing w:w="0" w:type="dxa"/>
        </w:trPr>
        <w:tc>
          <w:tcPr>
            <w:tcW w:w="3479" w:type="dxa"/>
            <w:tcMar>
              <w:top w:w="15" w:type="dxa"/>
              <w:left w:w="15" w:type="dxa"/>
              <w:bottom w:w="15" w:type="dxa"/>
              <w:right w:w="15" w:type="dxa"/>
            </w:tcMar>
          </w:tcPr>
          <w:p w14:paraId="7D76B939" w14:textId="77777777" w:rsidR="007A7D7B" w:rsidRPr="007A7D7B" w:rsidRDefault="007A7D7B" w:rsidP="00E9664D">
            <w:pPr>
              <w:spacing w:after="120" w:line="360" w:lineRule="auto"/>
              <w:rPr>
                <w:bCs/>
                <w:lang w:val="ro-RO"/>
              </w:rPr>
            </w:pPr>
            <w:r w:rsidRPr="007A7D7B">
              <w:rPr>
                <w:bCs/>
                <w:lang w:val="ro-RO"/>
              </w:rPr>
              <w:lastRenderedPageBreak/>
              <w:t xml:space="preserve">2.4. Alte informații </w:t>
            </w:r>
          </w:p>
        </w:tc>
        <w:tc>
          <w:tcPr>
            <w:tcW w:w="6781" w:type="dxa"/>
            <w:gridSpan w:val="3"/>
            <w:tcMar>
              <w:top w:w="15" w:type="dxa"/>
              <w:left w:w="15" w:type="dxa"/>
              <w:bottom w:w="15" w:type="dxa"/>
              <w:right w:w="15" w:type="dxa"/>
            </w:tcMar>
          </w:tcPr>
          <w:p w14:paraId="5E86C613" w14:textId="3CAA5258" w:rsidR="007A7D7B" w:rsidRPr="007A7D7B" w:rsidRDefault="007A7D7B" w:rsidP="00220FB6">
            <w:pPr>
              <w:tabs>
                <w:tab w:val="left" w:pos="1065"/>
              </w:tabs>
              <w:spacing w:after="120" w:line="276" w:lineRule="auto"/>
              <w:ind w:left="90"/>
              <w:rPr>
                <w:bCs/>
                <w:lang w:val="ro-RO"/>
              </w:rPr>
            </w:pPr>
            <w:r w:rsidRPr="007A7D7B">
              <w:rPr>
                <w:bCs/>
                <w:lang w:val="ro-RO"/>
              </w:rPr>
              <w:t>Nu au fost identificate.</w:t>
            </w:r>
            <w:r w:rsidRPr="007A7D7B" w:rsidDel="009F66D1">
              <w:rPr>
                <w:bCs/>
                <w:lang w:val="ro-RO"/>
              </w:rPr>
              <w:t xml:space="preserve"> </w:t>
            </w:r>
          </w:p>
        </w:tc>
      </w:tr>
      <w:tr w:rsidR="007A7D7B" w:rsidRPr="007A7D7B" w14:paraId="2799A902" w14:textId="77777777" w:rsidTr="007A7D7B">
        <w:trPr>
          <w:tblCellSpacing w:w="0" w:type="dxa"/>
        </w:trPr>
        <w:tc>
          <w:tcPr>
            <w:tcW w:w="10260" w:type="dxa"/>
            <w:gridSpan w:val="4"/>
            <w:tcMar>
              <w:top w:w="15" w:type="dxa"/>
              <w:left w:w="15" w:type="dxa"/>
              <w:bottom w:w="15" w:type="dxa"/>
              <w:right w:w="15" w:type="dxa"/>
            </w:tcMar>
          </w:tcPr>
          <w:p w14:paraId="65E8B8CC" w14:textId="77777777" w:rsidR="00220FB6" w:rsidRPr="0025503C" w:rsidRDefault="00220FB6" w:rsidP="00E9664D">
            <w:pPr>
              <w:spacing w:after="120" w:line="276" w:lineRule="auto"/>
              <w:jc w:val="center"/>
              <w:rPr>
                <w:b/>
                <w:sz w:val="8"/>
                <w:szCs w:val="6"/>
                <w:lang w:val="ro-RO"/>
              </w:rPr>
            </w:pPr>
          </w:p>
          <w:p w14:paraId="37B85A24" w14:textId="0C0639EC" w:rsidR="007A7D7B" w:rsidRPr="007A7D7B" w:rsidRDefault="007A7D7B" w:rsidP="00E9664D">
            <w:pPr>
              <w:spacing w:after="120" w:line="276" w:lineRule="auto"/>
              <w:jc w:val="center"/>
              <w:rPr>
                <w:b/>
                <w:lang w:val="ro-RO"/>
              </w:rPr>
            </w:pPr>
            <w:r w:rsidRPr="007A7D7B">
              <w:rPr>
                <w:b/>
                <w:lang w:val="ro-RO"/>
              </w:rPr>
              <w:t>Secțiunea a 3-a:</w:t>
            </w:r>
          </w:p>
          <w:p w14:paraId="232607BA" w14:textId="77777777" w:rsidR="007A7D7B" w:rsidRDefault="007A7D7B" w:rsidP="00E9664D">
            <w:pPr>
              <w:spacing w:after="120" w:line="276" w:lineRule="auto"/>
              <w:jc w:val="center"/>
              <w:rPr>
                <w:b/>
                <w:lang w:val="ro-RO"/>
              </w:rPr>
            </w:pPr>
            <w:r w:rsidRPr="007A7D7B">
              <w:rPr>
                <w:b/>
                <w:lang w:val="ro-RO"/>
              </w:rPr>
              <w:t xml:space="preserve">Impactul socioeconomic </w:t>
            </w:r>
          </w:p>
          <w:p w14:paraId="3666FA36" w14:textId="77777777" w:rsidR="0025503C" w:rsidRPr="0025503C" w:rsidRDefault="0025503C" w:rsidP="00E9664D">
            <w:pPr>
              <w:spacing w:after="120" w:line="276" w:lineRule="auto"/>
              <w:jc w:val="center"/>
              <w:rPr>
                <w:b/>
                <w:sz w:val="6"/>
                <w:szCs w:val="4"/>
                <w:lang w:val="ro-RO"/>
              </w:rPr>
            </w:pPr>
          </w:p>
        </w:tc>
      </w:tr>
      <w:tr w:rsidR="007A7D7B" w:rsidRPr="007A7D7B" w14:paraId="4615DD4F" w14:textId="77777777" w:rsidTr="007A7D7B">
        <w:trPr>
          <w:tblCellSpacing w:w="0" w:type="dxa"/>
        </w:trPr>
        <w:tc>
          <w:tcPr>
            <w:tcW w:w="4140" w:type="dxa"/>
            <w:gridSpan w:val="2"/>
            <w:tcMar>
              <w:top w:w="15" w:type="dxa"/>
              <w:left w:w="15" w:type="dxa"/>
              <w:bottom w:w="15" w:type="dxa"/>
              <w:right w:w="15" w:type="dxa"/>
            </w:tcMar>
          </w:tcPr>
          <w:p w14:paraId="4CF57ED4" w14:textId="77777777" w:rsidR="007A7D7B" w:rsidRPr="007A7D7B" w:rsidRDefault="007A7D7B" w:rsidP="00E9664D">
            <w:pPr>
              <w:spacing w:after="120"/>
              <w:rPr>
                <w:bCs/>
                <w:lang w:val="ro-RO"/>
              </w:rPr>
            </w:pPr>
            <w:r w:rsidRPr="007A7D7B">
              <w:rPr>
                <w:bCs/>
                <w:lang w:val="ro-RO"/>
              </w:rPr>
              <w:t xml:space="preserve">3.1. Descrierea generală a beneficiilor </w:t>
            </w:r>
            <w:proofErr w:type="spellStart"/>
            <w:r w:rsidRPr="007A7D7B">
              <w:rPr>
                <w:bCs/>
                <w:lang w:val="ro-RO"/>
              </w:rPr>
              <w:t>şi</w:t>
            </w:r>
            <w:proofErr w:type="spellEnd"/>
            <w:r w:rsidRPr="007A7D7B">
              <w:rPr>
                <w:bCs/>
                <w:lang w:val="ro-RO"/>
              </w:rPr>
              <w:t xml:space="preserve"> costurilor estimate ca urmare a intrării în vigoare a actului normativ</w:t>
            </w:r>
          </w:p>
        </w:tc>
        <w:tc>
          <w:tcPr>
            <w:tcW w:w="6120" w:type="dxa"/>
            <w:gridSpan w:val="2"/>
            <w:tcMar>
              <w:top w:w="15" w:type="dxa"/>
              <w:left w:w="15" w:type="dxa"/>
              <w:bottom w:w="15" w:type="dxa"/>
              <w:right w:w="15" w:type="dxa"/>
            </w:tcMar>
          </w:tcPr>
          <w:p w14:paraId="119FE21F" w14:textId="77777777" w:rsidR="007A7D7B" w:rsidRDefault="00A46DE1" w:rsidP="00E9664D">
            <w:pPr>
              <w:spacing w:after="120"/>
              <w:ind w:left="60" w:right="60"/>
              <w:rPr>
                <w:bCs/>
                <w:lang w:val="ro-RO"/>
              </w:rPr>
            </w:pPr>
            <w:r w:rsidRPr="00DD6C6D">
              <w:rPr>
                <w:bCs/>
                <w:lang w:val="ro-RO"/>
              </w:rPr>
              <w:t>Proiectul  de  act normativ nu se  referă  la acest subiect.</w:t>
            </w:r>
          </w:p>
          <w:p w14:paraId="257EF1FC" w14:textId="4B9AA229" w:rsidR="00B4265F" w:rsidRPr="00DD6C6D" w:rsidRDefault="00B4265F" w:rsidP="00B4265F">
            <w:pPr>
              <w:spacing w:after="120"/>
              <w:ind w:left="60" w:right="60"/>
              <w:rPr>
                <w:bCs/>
                <w:lang w:val="ro-RO"/>
              </w:rPr>
            </w:pPr>
            <w:r w:rsidRPr="00DD6C6D">
              <w:rPr>
                <w:bCs/>
                <w:lang w:val="ro-RO"/>
              </w:rPr>
              <w:t>Strategia furnizează premisele de asigurare a unui nivel adecvat de protecție și reziliență a societății românești, economiei, mediului și patrimoniului cultural față de impactul generat de inundații și riscurile asociate acestora, în orizontul de timp 2023–2035.</w:t>
            </w:r>
          </w:p>
          <w:p w14:paraId="6FF8B62B" w14:textId="76B87165" w:rsidR="00B4265F" w:rsidRPr="00DD6C6D" w:rsidRDefault="00B4265F" w:rsidP="00B4265F">
            <w:pPr>
              <w:spacing w:after="120"/>
              <w:ind w:left="60" w:right="60"/>
              <w:rPr>
                <w:bCs/>
                <w:lang w:val="ro-RO"/>
              </w:rPr>
            </w:pPr>
            <w:r w:rsidRPr="00DD6C6D">
              <w:rPr>
                <w:bCs/>
                <w:lang w:val="ro-RO"/>
              </w:rPr>
              <w:t>Prin Planul de acțiune asociat Strategiei se urmărește ca măsurile și acțiunile necesare pentru asigurarea prevenirii, protecției, a unei pregătiri și a unui răspuns adecvat în caz de eveniment de inundație să fie abordate într-un mod sistemic, unitar și interinstituțional, evidențiindu-se importanța angrenării ministerelor cu atribuții în domeniu într-un efort comun pentru un management sustenabil al riscului la inundații.</w:t>
            </w:r>
          </w:p>
          <w:p w14:paraId="43CBCFF1" w14:textId="77777777" w:rsidR="00B52696" w:rsidRPr="00DD6C6D" w:rsidRDefault="00B52696" w:rsidP="00B52696">
            <w:pPr>
              <w:spacing w:after="120"/>
              <w:ind w:left="60" w:right="60"/>
              <w:rPr>
                <w:bCs/>
                <w:lang w:val="ro-RO"/>
              </w:rPr>
            </w:pPr>
            <w:r w:rsidRPr="00DD6C6D">
              <w:rPr>
                <w:bCs/>
                <w:lang w:val="ro-RO"/>
              </w:rPr>
              <w:t>Pentru perioada 2010 – 2035, costurile totale ale măsurilor propuse în Planul de acțiune aprobat prin Hotărârea Guvernului nr. 846/2010 au fost estimate ca având valoarea de 17,46 mld. euro, aproximativ 87,3 miliarde lei.</w:t>
            </w:r>
          </w:p>
          <w:p w14:paraId="010F6156" w14:textId="7CF52CC9" w:rsidR="00B25075" w:rsidRPr="007A7D7B" w:rsidRDefault="00B52696" w:rsidP="00B52696">
            <w:pPr>
              <w:spacing w:after="120"/>
              <w:ind w:left="60" w:right="60"/>
              <w:rPr>
                <w:bCs/>
                <w:lang w:val="ro-RO"/>
              </w:rPr>
            </w:pPr>
            <w:r w:rsidRPr="00DD6C6D">
              <w:rPr>
                <w:bCs/>
                <w:lang w:val="ro-RO"/>
              </w:rPr>
              <w:t>Costul total al Planului de acțiune din proiectul de act normativ se ridică la valoarea de 15,414 mld. euro, pentru orizontul de timp 2023 – 2035 și include și costurile asociate măsurilor care răspund cerințelor de implementare a Directivei 2007/60/CE a Parlamentului European și a Consiliului din 23 octombrie 2007 (Planurile de management al riscului la inundații, aprobate prin Hotărârea Guvernului nr.  886 / 2023) și care se ridică la valoarea 11,965 mld. euro.</w:t>
            </w:r>
          </w:p>
        </w:tc>
      </w:tr>
      <w:tr w:rsidR="007A7D7B" w:rsidRPr="007A7D7B" w14:paraId="0A8A045D" w14:textId="77777777" w:rsidTr="007A7D7B">
        <w:trPr>
          <w:tblCellSpacing w:w="0" w:type="dxa"/>
        </w:trPr>
        <w:tc>
          <w:tcPr>
            <w:tcW w:w="4140" w:type="dxa"/>
            <w:gridSpan w:val="2"/>
            <w:tcMar>
              <w:top w:w="15" w:type="dxa"/>
              <w:left w:w="15" w:type="dxa"/>
              <w:bottom w:w="15" w:type="dxa"/>
              <w:right w:w="15" w:type="dxa"/>
            </w:tcMar>
          </w:tcPr>
          <w:p w14:paraId="4FD7FAF6" w14:textId="77777777" w:rsidR="007A7D7B" w:rsidRPr="007A7D7B" w:rsidRDefault="007A7D7B" w:rsidP="00E9664D">
            <w:pPr>
              <w:spacing w:after="120"/>
              <w:rPr>
                <w:bCs/>
                <w:lang w:val="ro-RO"/>
              </w:rPr>
            </w:pPr>
            <w:r w:rsidRPr="007A7D7B">
              <w:rPr>
                <w:bCs/>
                <w:lang w:val="ro-RO"/>
              </w:rPr>
              <w:t>3.2. Impactul social</w:t>
            </w:r>
          </w:p>
        </w:tc>
        <w:tc>
          <w:tcPr>
            <w:tcW w:w="6120" w:type="dxa"/>
            <w:gridSpan w:val="2"/>
            <w:tcMar>
              <w:top w:w="15" w:type="dxa"/>
              <w:left w:w="15" w:type="dxa"/>
              <w:bottom w:w="15" w:type="dxa"/>
              <w:right w:w="15" w:type="dxa"/>
            </w:tcMar>
            <w:vAlign w:val="center"/>
          </w:tcPr>
          <w:p w14:paraId="0E24B2BD" w14:textId="1FE413D0" w:rsidR="00262BCF" w:rsidRPr="00262BCF" w:rsidRDefault="00262BCF" w:rsidP="00262BCF">
            <w:pPr>
              <w:spacing w:after="120"/>
              <w:ind w:left="150" w:right="60"/>
              <w:rPr>
                <w:bCs/>
                <w:lang w:val="ro-RO"/>
              </w:rPr>
            </w:pPr>
            <w:r w:rsidRPr="00262BCF">
              <w:rPr>
                <w:bCs/>
                <w:lang w:val="ro-RO"/>
              </w:rPr>
              <w:t xml:space="preserve">Directiva </w:t>
            </w:r>
            <w:r w:rsidRPr="006C3081">
              <w:rPr>
                <w:color w:val="000000"/>
                <w:szCs w:val="24"/>
                <w:lang w:val="ro-RO"/>
              </w:rPr>
              <w:t>2007/60/CE</w:t>
            </w:r>
            <w:r>
              <w:rPr>
                <w:color w:val="000000"/>
                <w:szCs w:val="24"/>
                <w:lang w:val="ro-RO"/>
              </w:rPr>
              <w:t xml:space="preserve"> </w:t>
            </w:r>
            <w:r w:rsidRPr="00AB3529">
              <w:rPr>
                <w:rFonts w:eastAsia="Arial Unicode MS"/>
                <w:bCs/>
                <w:color w:val="000000"/>
                <w:szCs w:val="24"/>
                <w:lang w:val="ro-RO" w:bidi="en-US"/>
              </w:rPr>
              <w:t>a Parlamentului European și a Consiliului din 23 octombrie 2007</w:t>
            </w:r>
            <w:r>
              <w:rPr>
                <w:rFonts w:eastAsia="Arial Unicode MS"/>
                <w:bCs/>
                <w:color w:val="000000"/>
                <w:szCs w:val="24"/>
                <w:lang w:val="ro-RO" w:bidi="en-US"/>
              </w:rPr>
              <w:t xml:space="preserve"> </w:t>
            </w:r>
            <w:r>
              <w:rPr>
                <w:bCs/>
                <w:lang w:val="ro-RO"/>
              </w:rPr>
              <w:t>solicită</w:t>
            </w:r>
            <w:r w:rsidRPr="00262BCF">
              <w:rPr>
                <w:bCs/>
                <w:lang w:val="ro-RO"/>
              </w:rPr>
              <w:t xml:space="preserve"> în mod specific reprezentarea </w:t>
            </w:r>
            <w:proofErr w:type="spellStart"/>
            <w:r w:rsidRPr="00262BCF">
              <w:rPr>
                <w:bCs/>
                <w:lang w:val="ro-RO"/>
              </w:rPr>
              <w:t>spaţială</w:t>
            </w:r>
            <w:proofErr w:type="spellEnd"/>
            <w:r w:rsidRPr="00262BCF">
              <w:rPr>
                <w:bCs/>
                <w:lang w:val="ro-RO"/>
              </w:rPr>
              <w:t xml:space="preserve"> a impactului </w:t>
            </w:r>
            <w:proofErr w:type="spellStart"/>
            <w:r w:rsidRPr="00262BCF">
              <w:rPr>
                <w:bCs/>
                <w:lang w:val="ro-RO"/>
              </w:rPr>
              <w:t>inundaţiilor</w:t>
            </w:r>
            <w:proofErr w:type="spellEnd"/>
            <w:r w:rsidRPr="00262BCF">
              <w:rPr>
                <w:bCs/>
                <w:lang w:val="ro-RO"/>
              </w:rPr>
              <w:t xml:space="preserve"> asupra </w:t>
            </w:r>
            <w:proofErr w:type="spellStart"/>
            <w:r w:rsidRPr="00262BCF">
              <w:rPr>
                <w:bCs/>
                <w:lang w:val="ro-RO"/>
              </w:rPr>
              <w:lastRenderedPageBreak/>
              <w:t>comunităţilor</w:t>
            </w:r>
            <w:proofErr w:type="spellEnd"/>
            <w:r w:rsidRPr="00262BCF">
              <w:rPr>
                <w:bCs/>
                <w:lang w:val="ro-RO"/>
              </w:rPr>
              <w:t xml:space="preserve"> vulnerabile, </w:t>
            </w:r>
            <w:proofErr w:type="spellStart"/>
            <w:r w:rsidRPr="00262BCF">
              <w:rPr>
                <w:bCs/>
                <w:lang w:val="ro-RO"/>
              </w:rPr>
              <w:t>sănătăţii</w:t>
            </w:r>
            <w:proofErr w:type="spellEnd"/>
            <w:r w:rsidRPr="00262BCF">
              <w:rPr>
                <w:bCs/>
                <w:lang w:val="ro-RO"/>
              </w:rPr>
              <w:t xml:space="preserve"> umane </w:t>
            </w:r>
            <w:proofErr w:type="spellStart"/>
            <w:r w:rsidRPr="00262BCF">
              <w:rPr>
                <w:bCs/>
                <w:lang w:val="ro-RO"/>
              </w:rPr>
              <w:t>şi</w:t>
            </w:r>
            <w:proofErr w:type="spellEnd"/>
            <w:r w:rsidRPr="00262BCF">
              <w:rPr>
                <w:bCs/>
                <w:lang w:val="ro-RO"/>
              </w:rPr>
              <w:t xml:space="preserve"> </w:t>
            </w:r>
            <w:proofErr w:type="spellStart"/>
            <w:r w:rsidRPr="00262BCF">
              <w:rPr>
                <w:bCs/>
                <w:lang w:val="ro-RO"/>
              </w:rPr>
              <w:t>vieţii</w:t>
            </w:r>
            <w:proofErr w:type="spellEnd"/>
            <w:r w:rsidRPr="00262BCF">
              <w:rPr>
                <w:bCs/>
                <w:lang w:val="ro-RO"/>
              </w:rPr>
              <w:t xml:space="preserve">, mediului, patrimoniului cultural </w:t>
            </w:r>
            <w:proofErr w:type="spellStart"/>
            <w:r w:rsidRPr="00262BCF">
              <w:rPr>
                <w:bCs/>
                <w:lang w:val="ro-RO"/>
              </w:rPr>
              <w:t>şi</w:t>
            </w:r>
            <w:proofErr w:type="spellEnd"/>
            <w:r w:rsidRPr="00262BCF">
              <w:rPr>
                <w:bCs/>
                <w:lang w:val="ro-RO"/>
              </w:rPr>
              <w:t xml:space="preserve"> </w:t>
            </w:r>
            <w:proofErr w:type="spellStart"/>
            <w:r w:rsidRPr="00262BCF">
              <w:rPr>
                <w:bCs/>
                <w:lang w:val="ro-RO"/>
              </w:rPr>
              <w:t>activităţilor</w:t>
            </w:r>
            <w:proofErr w:type="spellEnd"/>
            <w:r w:rsidRPr="00262BCF">
              <w:rPr>
                <w:bCs/>
                <w:lang w:val="ro-RO"/>
              </w:rPr>
              <w:t xml:space="preserve"> economice. </w:t>
            </w:r>
          </w:p>
          <w:p w14:paraId="30E9B4DC" w14:textId="0B0BF1CA" w:rsidR="00262BCF" w:rsidRPr="00262BCF" w:rsidRDefault="00262BCF" w:rsidP="00262BCF">
            <w:pPr>
              <w:spacing w:after="120"/>
              <w:ind w:left="150" w:right="60"/>
              <w:rPr>
                <w:bCs/>
                <w:lang w:val="ro-RO"/>
              </w:rPr>
            </w:pPr>
            <w:r w:rsidRPr="00262BCF">
              <w:rPr>
                <w:bCs/>
                <w:lang w:val="ro-RO"/>
              </w:rPr>
              <w:t>Rezultatele Strategiei naționale de management al riscului la inundații contribuie la realizarea obiectivelor pe termen lung ale Directivei</w:t>
            </w:r>
            <w:r>
              <w:rPr>
                <w:bCs/>
                <w:lang w:val="ro-RO"/>
              </w:rPr>
              <w:t xml:space="preserve"> </w:t>
            </w:r>
            <w:r w:rsidRPr="006C3081">
              <w:rPr>
                <w:color w:val="000000"/>
                <w:szCs w:val="24"/>
                <w:lang w:val="ro-RO"/>
              </w:rPr>
              <w:t>2007/60/CE</w:t>
            </w:r>
            <w:r w:rsidRPr="00262BCF">
              <w:rPr>
                <w:bCs/>
                <w:lang w:val="ro-RO"/>
              </w:rPr>
              <w:t xml:space="preserve"> </w:t>
            </w:r>
            <w:r w:rsidRPr="00AB3529">
              <w:rPr>
                <w:rFonts w:eastAsia="Arial Unicode MS"/>
                <w:bCs/>
                <w:color w:val="000000"/>
                <w:szCs w:val="24"/>
                <w:lang w:val="ro-RO" w:bidi="en-US"/>
              </w:rPr>
              <w:t>a Parlamentului European și a Consiliului din 23 octombrie 2007</w:t>
            </w:r>
            <w:r w:rsidRPr="00262BCF">
              <w:rPr>
                <w:bCs/>
                <w:lang w:val="ro-RO"/>
              </w:rPr>
              <w:t>; implementarea strategiei va conduce la obținerea unor rezultate concrete la nivel economic, social, de mediu și cultural, în concordanță cu obiectivele de dezvoltare durabilă a României.</w:t>
            </w:r>
          </w:p>
          <w:p w14:paraId="10CC183E" w14:textId="5213C49F" w:rsidR="00262BCF" w:rsidRPr="00262BCF" w:rsidRDefault="00262BCF" w:rsidP="00262BCF">
            <w:pPr>
              <w:spacing w:after="120"/>
              <w:ind w:left="150" w:right="60"/>
              <w:rPr>
                <w:bCs/>
                <w:lang w:val="ro-RO"/>
              </w:rPr>
            </w:pPr>
            <w:r w:rsidRPr="00262BCF">
              <w:rPr>
                <w:bCs/>
                <w:lang w:val="ro-RO"/>
              </w:rPr>
              <w:t>Țintele sunt exprimate în raport cu situația de referință, evaluată în cadrul Planurilor de management al riscului la inundații</w:t>
            </w:r>
            <w:r>
              <w:rPr>
                <w:bCs/>
                <w:lang w:val="ro-RO"/>
              </w:rPr>
              <w:t>,</w:t>
            </w:r>
            <w:r w:rsidRPr="00262BCF">
              <w:rPr>
                <w:bCs/>
                <w:lang w:val="ro-RO"/>
              </w:rPr>
              <w:t xml:space="preserve"> aprobate prin H</w:t>
            </w:r>
            <w:r>
              <w:rPr>
                <w:bCs/>
                <w:lang w:val="ro-RO"/>
              </w:rPr>
              <w:t xml:space="preserve">otărârea </w:t>
            </w:r>
            <w:r w:rsidRPr="00262BCF">
              <w:rPr>
                <w:bCs/>
                <w:lang w:val="ro-RO"/>
              </w:rPr>
              <w:t>G</w:t>
            </w:r>
            <w:r>
              <w:rPr>
                <w:bCs/>
                <w:lang w:val="ro-RO"/>
              </w:rPr>
              <w:t>uvernului</w:t>
            </w:r>
            <w:r w:rsidRPr="00262BCF">
              <w:rPr>
                <w:bCs/>
                <w:lang w:val="ro-RO"/>
              </w:rPr>
              <w:t xml:space="preserve"> nr. 886/2023 (anul de referință 2022) și prezentată în</w:t>
            </w:r>
            <w:r w:rsidRPr="00262BCF">
              <w:rPr>
                <w:bCs/>
                <w:i/>
                <w:iCs/>
                <w:lang w:val="ro-RO"/>
              </w:rPr>
              <w:t xml:space="preserve"> capitolul IV Analiza contextului și definirea problemelor,</w:t>
            </w:r>
            <w:r w:rsidRPr="00262BCF">
              <w:rPr>
                <w:bCs/>
                <w:lang w:val="ro-RO"/>
              </w:rPr>
              <w:t xml:space="preserve"> luând în considerare zonele cu risc potențial semnificativ la inundații (identificate ca A.P.S.F.R.).</w:t>
            </w:r>
          </w:p>
          <w:p w14:paraId="2F2F792D" w14:textId="12D0FCC0" w:rsidR="00262BCF" w:rsidRPr="00262BCF" w:rsidRDefault="00262BCF" w:rsidP="00262BCF">
            <w:pPr>
              <w:numPr>
                <w:ilvl w:val="0"/>
                <w:numId w:val="26"/>
              </w:numPr>
              <w:spacing w:after="120"/>
              <w:ind w:left="150" w:right="60"/>
              <w:rPr>
                <w:b/>
                <w:bCs/>
                <w:lang w:val="ro-RO"/>
              </w:rPr>
            </w:pPr>
            <w:r w:rsidRPr="00262BCF">
              <w:rPr>
                <w:bCs/>
                <w:lang w:val="ro-RO"/>
              </w:rPr>
              <w:t xml:space="preserve">Rezultatele așteptate sunt exprimate sub forma unor </w:t>
            </w:r>
            <w:r w:rsidRPr="00262BCF">
              <w:rPr>
                <w:b/>
                <w:bCs/>
                <w:lang w:val="ro-RO"/>
              </w:rPr>
              <w:t>ținte cuantificabile</w:t>
            </w:r>
            <w:r w:rsidRPr="00262BCF">
              <w:rPr>
                <w:bCs/>
                <w:lang w:val="ro-RO"/>
              </w:rPr>
              <w:t xml:space="preserve"> (6 ținte </w:t>
            </w:r>
            <w:r>
              <w:rPr>
                <w:bCs/>
                <w:lang w:val="ro-RO"/>
              </w:rPr>
              <w:t>î</w:t>
            </w:r>
            <w:r w:rsidRPr="00262BCF">
              <w:rPr>
                <w:bCs/>
                <w:lang w:val="ro-RO"/>
              </w:rPr>
              <w:t>n total). Dintre acestea trei surprind impactul social, după cum urmează:</w:t>
            </w:r>
          </w:p>
          <w:p w14:paraId="00CABE78" w14:textId="5B6AE712" w:rsidR="00262BCF" w:rsidRPr="00262BCF" w:rsidRDefault="00262BCF" w:rsidP="00262BCF">
            <w:pPr>
              <w:numPr>
                <w:ilvl w:val="0"/>
                <w:numId w:val="26"/>
              </w:numPr>
              <w:spacing w:after="120"/>
              <w:ind w:left="150" w:right="60"/>
              <w:rPr>
                <w:b/>
                <w:bCs/>
                <w:lang w:val="ro-RO"/>
              </w:rPr>
            </w:pPr>
            <w:r w:rsidRPr="00262BCF">
              <w:rPr>
                <w:b/>
                <w:bCs/>
                <w:lang w:val="ro-RO"/>
              </w:rPr>
              <w:t xml:space="preserve">Creșterea gradului de protecție pentru 57 % din  numărul de persoane expuse riscului potențial de inundații la viituri cu debite având probabilitatea anuală de depășire de 1% față de situația prezentă  </w:t>
            </w:r>
            <w:r w:rsidRPr="00262BCF">
              <w:rPr>
                <w:bCs/>
                <w:lang w:val="ro-RO"/>
              </w:rPr>
              <w:t>(situație descrisă în capitolul IV);</w:t>
            </w:r>
          </w:p>
          <w:p w14:paraId="7CF9C10E" w14:textId="77777777" w:rsidR="00262BCF" w:rsidRPr="00262BCF" w:rsidRDefault="00262BCF" w:rsidP="00262BCF">
            <w:pPr>
              <w:numPr>
                <w:ilvl w:val="0"/>
                <w:numId w:val="22"/>
              </w:numPr>
              <w:spacing w:after="120"/>
              <w:ind w:left="150" w:right="60"/>
              <w:rPr>
                <w:bCs/>
                <w:lang w:val="ro-RO"/>
              </w:rPr>
            </w:pPr>
            <w:r w:rsidRPr="00262BCF">
              <w:rPr>
                <w:b/>
                <w:bCs/>
                <w:lang w:val="ro-RO"/>
              </w:rPr>
              <w:t xml:space="preserve">Creșterea gradului de protecție pentru circa 56% din numărul de proprietăți cu destinație rezidențială expuse riscului potențial de inundații la viituri cu debite având probabilitatea anuală de depășire de 1% față de situația prezentă </w:t>
            </w:r>
            <w:r w:rsidRPr="00262BCF">
              <w:rPr>
                <w:bCs/>
                <w:lang w:val="ro-RO"/>
              </w:rPr>
              <w:t>(situație descrisă în capitolul IV);</w:t>
            </w:r>
          </w:p>
          <w:p w14:paraId="14703086" w14:textId="77777777" w:rsidR="00262BCF" w:rsidRPr="00262BCF" w:rsidRDefault="00262BCF" w:rsidP="00262BCF">
            <w:pPr>
              <w:numPr>
                <w:ilvl w:val="0"/>
                <w:numId w:val="22"/>
              </w:numPr>
              <w:spacing w:after="120"/>
              <w:ind w:left="150" w:right="60"/>
              <w:rPr>
                <w:b/>
                <w:bCs/>
                <w:lang w:val="ro-RO"/>
              </w:rPr>
            </w:pPr>
            <w:r w:rsidRPr="00262BCF">
              <w:rPr>
                <w:b/>
                <w:bCs/>
                <w:lang w:val="ro-RO"/>
              </w:rPr>
              <w:t xml:space="preserve">Creșterea gradului de protecție pentru circa 88% din obiectivele sociale expuse la inundații cauzate de viituri cu debite având probabilitatea anuală de depășire de 1% față de situația prezentă </w:t>
            </w:r>
            <w:r w:rsidRPr="00262BCF">
              <w:rPr>
                <w:bCs/>
                <w:lang w:val="ro-RO"/>
              </w:rPr>
              <w:t>(situație descrisă în capitolul IV).</w:t>
            </w:r>
          </w:p>
          <w:p w14:paraId="2BC39DD0" w14:textId="5A93B7D3" w:rsidR="007A7D7B" w:rsidRPr="007A7D7B" w:rsidRDefault="007A7D7B" w:rsidP="0025503C">
            <w:pPr>
              <w:spacing w:after="120"/>
              <w:ind w:right="60"/>
              <w:rPr>
                <w:bCs/>
                <w:lang w:val="ro-RO"/>
              </w:rPr>
            </w:pPr>
          </w:p>
        </w:tc>
      </w:tr>
      <w:tr w:rsidR="007A7D7B" w:rsidRPr="007A7D7B" w14:paraId="7707A636" w14:textId="77777777" w:rsidTr="007A7D7B">
        <w:trPr>
          <w:tblCellSpacing w:w="0" w:type="dxa"/>
        </w:trPr>
        <w:tc>
          <w:tcPr>
            <w:tcW w:w="4140" w:type="dxa"/>
            <w:gridSpan w:val="2"/>
            <w:tcMar>
              <w:top w:w="15" w:type="dxa"/>
              <w:left w:w="15" w:type="dxa"/>
              <w:bottom w:w="15" w:type="dxa"/>
              <w:right w:w="15" w:type="dxa"/>
            </w:tcMar>
          </w:tcPr>
          <w:p w14:paraId="6BD6286B" w14:textId="77777777" w:rsidR="007A7D7B" w:rsidRPr="007A7D7B" w:rsidRDefault="007A7D7B" w:rsidP="00E9664D">
            <w:pPr>
              <w:spacing w:after="120"/>
              <w:rPr>
                <w:bCs/>
                <w:lang w:val="ro-RO"/>
              </w:rPr>
            </w:pPr>
            <w:r w:rsidRPr="007A7D7B">
              <w:rPr>
                <w:bCs/>
                <w:lang w:val="ro-RO"/>
              </w:rPr>
              <w:lastRenderedPageBreak/>
              <w:t xml:space="preserve">3.3. Impactul asupra drepturilor </w:t>
            </w:r>
            <w:proofErr w:type="spellStart"/>
            <w:r w:rsidRPr="007A7D7B">
              <w:rPr>
                <w:bCs/>
                <w:lang w:val="ro-RO"/>
              </w:rPr>
              <w:t>şi</w:t>
            </w:r>
            <w:proofErr w:type="spellEnd"/>
            <w:r w:rsidRPr="007A7D7B">
              <w:rPr>
                <w:bCs/>
                <w:lang w:val="ro-RO"/>
              </w:rPr>
              <w:t xml:space="preserve"> libertăților fundamentale ale omului</w:t>
            </w:r>
          </w:p>
        </w:tc>
        <w:tc>
          <w:tcPr>
            <w:tcW w:w="6120" w:type="dxa"/>
            <w:gridSpan w:val="2"/>
            <w:tcMar>
              <w:top w:w="15" w:type="dxa"/>
              <w:left w:w="15" w:type="dxa"/>
              <w:bottom w:w="15" w:type="dxa"/>
              <w:right w:w="15" w:type="dxa"/>
            </w:tcMar>
          </w:tcPr>
          <w:p w14:paraId="5F130084" w14:textId="21A41D98" w:rsidR="007A7D7B" w:rsidRPr="007A7D7B" w:rsidRDefault="00262BCF" w:rsidP="0025503C">
            <w:pPr>
              <w:spacing w:after="120"/>
              <w:ind w:left="60" w:right="60"/>
              <w:rPr>
                <w:bCs/>
                <w:lang w:val="ro-RO"/>
              </w:rPr>
            </w:pPr>
            <w:r w:rsidRPr="00DD6C6D">
              <w:rPr>
                <w:bCs/>
                <w:lang w:val="ro-RO"/>
              </w:rPr>
              <w:t>Proiectul  de  act normativ nu se  referă  la acest subiect.</w:t>
            </w:r>
          </w:p>
        </w:tc>
      </w:tr>
      <w:tr w:rsidR="007A7D7B" w:rsidRPr="007A7D7B" w14:paraId="40A45879" w14:textId="77777777" w:rsidTr="007A7D7B">
        <w:trPr>
          <w:tblCellSpacing w:w="0" w:type="dxa"/>
        </w:trPr>
        <w:tc>
          <w:tcPr>
            <w:tcW w:w="4140" w:type="dxa"/>
            <w:gridSpan w:val="2"/>
            <w:tcMar>
              <w:top w:w="15" w:type="dxa"/>
              <w:left w:w="15" w:type="dxa"/>
              <w:bottom w:w="15" w:type="dxa"/>
              <w:right w:w="15" w:type="dxa"/>
            </w:tcMar>
          </w:tcPr>
          <w:p w14:paraId="7B8052C9" w14:textId="77777777" w:rsidR="007A7D7B" w:rsidRPr="007A7D7B" w:rsidRDefault="007A7D7B" w:rsidP="00E9664D">
            <w:pPr>
              <w:spacing w:after="120"/>
              <w:rPr>
                <w:bCs/>
                <w:lang w:val="ro-RO"/>
              </w:rPr>
            </w:pPr>
            <w:r w:rsidRPr="007A7D7B">
              <w:rPr>
                <w:bCs/>
                <w:lang w:val="ro-RO"/>
              </w:rPr>
              <w:t>3.4. Impactul macroeconomic</w:t>
            </w:r>
          </w:p>
        </w:tc>
        <w:tc>
          <w:tcPr>
            <w:tcW w:w="6120" w:type="dxa"/>
            <w:gridSpan w:val="2"/>
            <w:tcMar>
              <w:top w:w="15" w:type="dxa"/>
              <w:left w:w="15" w:type="dxa"/>
              <w:bottom w:w="15" w:type="dxa"/>
              <w:right w:w="15" w:type="dxa"/>
            </w:tcMar>
          </w:tcPr>
          <w:p w14:paraId="4BD91BAA" w14:textId="531C04E8" w:rsidR="0025503C" w:rsidRPr="006C3081" w:rsidRDefault="0025503C" w:rsidP="0025503C">
            <w:pPr>
              <w:ind w:left="60" w:right="60"/>
              <w:rPr>
                <w:rFonts w:eastAsia="Times New Roman"/>
                <w:bCs/>
                <w:color w:val="000000"/>
                <w:szCs w:val="24"/>
                <w:lang w:val="ro-RO"/>
              </w:rPr>
            </w:pPr>
            <w:r w:rsidRPr="006C3081">
              <w:rPr>
                <w:rFonts w:eastAsia="Times New Roman"/>
                <w:bCs/>
                <w:color w:val="000000"/>
                <w:szCs w:val="24"/>
                <w:lang w:val="ro-RO"/>
              </w:rPr>
              <w:t xml:space="preserve">Adoptarea </w:t>
            </w:r>
            <w:r>
              <w:rPr>
                <w:rFonts w:eastAsia="Times New Roman"/>
                <w:bCs/>
                <w:color w:val="000000"/>
                <w:szCs w:val="24"/>
                <w:lang w:val="ro-RO"/>
              </w:rPr>
              <w:t>proiectului de act normativ</w:t>
            </w:r>
            <w:r w:rsidRPr="006C3081">
              <w:rPr>
                <w:rFonts w:eastAsia="Times New Roman"/>
                <w:bCs/>
                <w:color w:val="000000"/>
                <w:szCs w:val="24"/>
                <w:lang w:val="ro-RO"/>
              </w:rPr>
              <w:t xml:space="preserve"> va sprijini îndeplinirea cerințelor de raportare a Directivei </w:t>
            </w:r>
            <w:r w:rsidRPr="006C3081">
              <w:rPr>
                <w:color w:val="000000"/>
                <w:szCs w:val="24"/>
                <w:lang w:val="ro-RO"/>
              </w:rPr>
              <w:t>2007/60/CE</w:t>
            </w:r>
            <w:r>
              <w:rPr>
                <w:color w:val="000000"/>
                <w:szCs w:val="24"/>
                <w:lang w:val="ro-RO"/>
              </w:rPr>
              <w:t xml:space="preserve"> </w:t>
            </w:r>
            <w:r w:rsidRPr="00AB3529">
              <w:rPr>
                <w:rFonts w:eastAsia="Arial Unicode MS"/>
                <w:bCs/>
                <w:color w:val="000000"/>
                <w:szCs w:val="24"/>
                <w:lang w:val="ro-RO" w:bidi="en-US"/>
              </w:rPr>
              <w:t>a Parlamentului European și a Consiliului din 23 octombrie 2007</w:t>
            </w:r>
            <w:r>
              <w:rPr>
                <w:rFonts w:eastAsia="Arial Unicode MS"/>
                <w:bCs/>
                <w:color w:val="000000"/>
                <w:szCs w:val="24"/>
                <w:lang w:val="ro-RO" w:bidi="en-US"/>
              </w:rPr>
              <w:t xml:space="preserve"> ș</w:t>
            </w:r>
            <w:r w:rsidRPr="006C3081">
              <w:rPr>
                <w:rFonts w:eastAsia="Times New Roman"/>
                <w:bCs/>
                <w:color w:val="000000"/>
                <w:szCs w:val="24"/>
                <w:lang w:val="ro-RO"/>
              </w:rPr>
              <w:t xml:space="preserve">i va crea cadrul </w:t>
            </w:r>
            <w:r w:rsidRPr="006C3081">
              <w:rPr>
                <w:color w:val="000000"/>
                <w:szCs w:val="24"/>
                <w:lang w:val="ro-RO"/>
              </w:rPr>
              <w:t>strategic pentru diminuarea consecințelor negative ale inundațiilor pentru sănătatea umană, activitatea economică, mediu și patrimoniul cultural prin rezultatul sinergiei măsurilor de prevenire, protecție, pregătire, a celor de management a situațiilor de urgență și a măsurilor întreprinse post inundații (reconstrucție/refacere și evaluare).</w:t>
            </w:r>
          </w:p>
          <w:p w14:paraId="04F4DBE3" w14:textId="3A37A09C" w:rsidR="007A7D7B" w:rsidRPr="0025503C" w:rsidRDefault="007A7D7B" w:rsidP="0025503C">
            <w:pPr>
              <w:ind w:left="60" w:right="60"/>
              <w:rPr>
                <w:rFonts w:eastAsia="Times New Roman"/>
                <w:bCs/>
                <w:color w:val="000000"/>
                <w:szCs w:val="24"/>
                <w:lang w:val="ro-RO"/>
              </w:rPr>
            </w:pPr>
          </w:p>
        </w:tc>
      </w:tr>
      <w:tr w:rsidR="007A7D7B" w:rsidRPr="007A7D7B" w14:paraId="393335D5" w14:textId="77777777" w:rsidTr="007A7D7B">
        <w:trPr>
          <w:tblCellSpacing w:w="0" w:type="dxa"/>
        </w:trPr>
        <w:tc>
          <w:tcPr>
            <w:tcW w:w="4140" w:type="dxa"/>
            <w:gridSpan w:val="2"/>
            <w:tcMar>
              <w:top w:w="15" w:type="dxa"/>
              <w:left w:w="15" w:type="dxa"/>
              <w:bottom w:w="15" w:type="dxa"/>
              <w:right w:w="15" w:type="dxa"/>
            </w:tcMar>
          </w:tcPr>
          <w:p w14:paraId="7BE2FEF5" w14:textId="77777777" w:rsidR="007A7D7B" w:rsidRPr="007A7D7B" w:rsidRDefault="007A7D7B" w:rsidP="00E9664D">
            <w:pPr>
              <w:spacing w:after="120"/>
              <w:rPr>
                <w:bCs/>
                <w:lang w:val="ro-RO"/>
              </w:rPr>
            </w:pPr>
            <w:r w:rsidRPr="007A7D7B">
              <w:rPr>
                <w:bCs/>
                <w:lang w:val="ro-RO"/>
              </w:rPr>
              <w:lastRenderedPageBreak/>
              <w:t xml:space="preserve">3.4.1. Impactul asupra economiei </w:t>
            </w:r>
            <w:proofErr w:type="spellStart"/>
            <w:r w:rsidRPr="007A7D7B">
              <w:rPr>
                <w:bCs/>
                <w:lang w:val="ro-RO"/>
              </w:rPr>
              <w:t>şi</w:t>
            </w:r>
            <w:proofErr w:type="spellEnd"/>
            <w:r w:rsidRPr="007A7D7B">
              <w:rPr>
                <w:bCs/>
                <w:lang w:val="ro-RO"/>
              </w:rPr>
              <w:t xml:space="preserve"> asupra principalilor indicatori macroeconomici</w:t>
            </w:r>
          </w:p>
        </w:tc>
        <w:tc>
          <w:tcPr>
            <w:tcW w:w="6120" w:type="dxa"/>
            <w:gridSpan w:val="2"/>
            <w:tcMar>
              <w:top w:w="15" w:type="dxa"/>
              <w:left w:w="15" w:type="dxa"/>
              <w:bottom w:w="15" w:type="dxa"/>
              <w:right w:w="15" w:type="dxa"/>
            </w:tcMar>
          </w:tcPr>
          <w:p w14:paraId="4E5BF783" w14:textId="0CD381A0" w:rsidR="007A7D7B" w:rsidRPr="007A7D7B" w:rsidRDefault="00A46DE1" w:rsidP="00E9664D">
            <w:pPr>
              <w:autoSpaceDE w:val="0"/>
              <w:autoSpaceDN w:val="0"/>
              <w:adjustRightInd w:val="0"/>
              <w:ind w:left="60" w:right="60"/>
              <w:rPr>
                <w:highlight w:val="yellow"/>
                <w:lang w:val="ro-RO"/>
              </w:rPr>
            </w:pPr>
            <w:r w:rsidRPr="00DD6C6D">
              <w:rPr>
                <w:bCs/>
                <w:lang w:val="ro-RO"/>
              </w:rPr>
              <w:t>Proiectul  de  act normativ nu se  referă  la acest subiect.</w:t>
            </w:r>
          </w:p>
        </w:tc>
      </w:tr>
      <w:tr w:rsidR="007A7D7B" w:rsidRPr="007A7D7B" w14:paraId="60FABA33" w14:textId="77777777" w:rsidTr="007A7D7B">
        <w:trPr>
          <w:tblCellSpacing w:w="0" w:type="dxa"/>
        </w:trPr>
        <w:tc>
          <w:tcPr>
            <w:tcW w:w="4140" w:type="dxa"/>
            <w:gridSpan w:val="2"/>
            <w:tcMar>
              <w:top w:w="15" w:type="dxa"/>
              <w:left w:w="15" w:type="dxa"/>
              <w:bottom w:w="15" w:type="dxa"/>
              <w:right w:w="15" w:type="dxa"/>
            </w:tcMar>
          </w:tcPr>
          <w:p w14:paraId="7CA4ECAA" w14:textId="77777777" w:rsidR="007A7D7B" w:rsidRPr="007A7D7B" w:rsidRDefault="007A7D7B" w:rsidP="00E9664D">
            <w:pPr>
              <w:spacing w:after="120"/>
              <w:rPr>
                <w:bCs/>
                <w:lang w:val="ro-RO"/>
              </w:rPr>
            </w:pPr>
            <w:r w:rsidRPr="007A7D7B">
              <w:rPr>
                <w:rFonts w:eastAsia="Garamond"/>
                <w:bCs/>
                <w:iCs/>
                <w:lang w:val="ro-RO"/>
              </w:rPr>
              <w:t xml:space="preserve">3.4.2. Impactul asupra mediului </w:t>
            </w:r>
            <w:proofErr w:type="spellStart"/>
            <w:r w:rsidRPr="007A7D7B">
              <w:rPr>
                <w:rFonts w:eastAsia="Garamond"/>
                <w:bCs/>
                <w:iCs/>
                <w:lang w:val="ro-RO"/>
              </w:rPr>
              <w:t>concurenţial</w:t>
            </w:r>
            <w:proofErr w:type="spellEnd"/>
            <w:r w:rsidRPr="007A7D7B">
              <w:rPr>
                <w:rFonts w:eastAsia="Garamond"/>
                <w:bCs/>
                <w:iCs/>
                <w:lang w:val="ro-RO"/>
              </w:rPr>
              <w:t xml:space="preserve"> </w:t>
            </w:r>
            <w:proofErr w:type="spellStart"/>
            <w:r w:rsidRPr="007A7D7B">
              <w:rPr>
                <w:rFonts w:eastAsia="Garamond"/>
                <w:bCs/>
                <w:iCs/>
                <w:lang w:val="ro-RO"/>
              </w:rPr>
              <w:t>şi</w:t>
            </w:r>
            <w:proofErr w:type="spellEnd"/>
            <w:r w:rsidRPr="007A7D7B">
              <w:rPr>
                <w:rFonts w:eastAsia="Garamond"/>
                <w:bCs/>
                <w:iCs/>
                <w:lang w:val="ro-RO"/>
              </w:rPr>
              <w:t xml:space="preserve"> domeniul ajutoarelor de stat</w:t>
            </w:r>
          </w:p>
        </w:tc>
        <w:tc>
          <w:tcPr>
            <w:tcW w:w="6120" w:type="dxa"/>
            <w:gridSpan w:val="2"/>
            <w:tcMar>
              <w:top w:w="15" w:type="dxa"/>
              <w:left w:w="15" w:type="dxa"/>
              <w:bottom w:w="15" w:type="dxa"/>
              <w:right w:w="15" w:type="dxa"/>
            </w:tcMar>
          </w:tcPr>
          <w:p w14:paraId="5E18301D" w14:textId="77777777" w:rsidR="007A7D7B" w:rsidRPr="007A7D7B" w:rsidRDefault="007A7D7B" w:rsidP="00E9664D">
            <w:pPr>
              <w:spacing w:after="120"/>
              <w:ind w:left="60"/>
              <w:rPr>
                <w:bCs/>
                <w:lang w:val="ro-RO"/>
              </w:rPr>
            </w:pPr>
            <w:r w:rsidRPr="00DD6C6D">
              <w:rPr>
                <w:bCs/>
                <w:lang w:val="ro-RO"/>
              </w:rPr>
              <w:t>Proiectul  de  act normativ nu se  referă  la acest subiect.</w:t>
            </w:r>
          </w:p>
        </w:tc>
      </w:tr>
      <w:tr w:rsidR="007A7D7B" w:rsidRPr="007A7D7B" w14:paraId="77D907F4" w14:textId="77777777" w:rsidTr="007A7D7B">
        <w:trPr>
          <w:tblCellSpacing w:w="0" w:type="dxa"/>
        </w:trPr>
        <w:tc>
          <w:tcPr>
            <w:tcW w:w="4140" w:type="dxa"/>
            <w:gridSpan w:val="2"/>
            <w:tcMar>
              <w:top w:w="15" w:type="dxa"/>
              <w:left w:w="15" w:type="dxa"/>
              <w:bottom w:w="15" w:type="dxa"/>
              <w:right w:w="15" w:type="dxa"/>
            </w:tcMar>
          </w:tcPr>
          <w:p w14:paraId="0DC6256D" w14:textId="77777777" w:rsidR="007A7D7B" w:rsidRPr="007A7D7B" w:rsidRDefault="007A7D7B" w:rsidP="00E9664D">
            <w:pPr>
              <w:spacing w:after="120"/>
              <w:rPr>
                <w:bCs/>
                <w:lang w:val="ro-RO"/>
              </w:rPr>
            </w:pPr>
            <w:r w:rsidRPr="007A7D7B">
              <w:rPr>
                <w:bCs/>
                <w:lang w:val="ro-RO"/>
              </w:rPr>
              <w:t>3.5. Impactul asupra mediului de afaceri</w:t>
            </w:r>
          </w:p>
        </w:tc>
        <w:tc>
          <w:tcPr>
            <w:tcW w:w="6120" w:type="dxa"/>
            <w:gridSpan w:val="2"/>
            <w:tcMar>
              <w:top w:w="15" w:type="dxa"/>
              <w:left w:w="15" w:type="dxa"/>
              <w:bottom w:w="15" w:type="dxa"/>
              <w:right w:w="15" w:type="dxa"/>
            </w:tcMar>
          </w:tcPr>
          <w:p w14:paraId="0596737C" w14:textId="5C38397A" w:rsidR="007A7D7B" w:rsidRPr="007A7D7B" w:rsidRDefault="00262BCF" w:rsidP="00E9664D">
            <w:pPr>
              <w:ind w:left="60" w:right="60"/>
              <w:rPr>
                <w:highlight w:val="yellow"/>
                <w:lang w:val="ro-RO"/>
              </w:rPr>
            </w:pPr>
            <w:r w:rsidRPr="00DD6C6D">
              <w:rPr>
                <w:bCs/>
                <w:lang w:val="ro-RO"/>
              </w:rPr>
              <w:t>Proiectul  de  act normativ nu se  referă  la acest subiect.</w:t>
            </w:r>
          </w:p>
        </w:tc>
      </w:tr>
      <w:tr w:rsidR="007A7D7B" w:rsidRPr="007A7D7B" w14:paraId="625A56B7" w14:textId="77777777" w:rsidTr="007A7D7B">
        <w:trPr>
          <w:tblCellSpacing w:w="0" w:type="dxa"/>
        </w:trPr>
        <w:tc>
          <w:tcPr>
            <w:tcW w:w="4140" w:type="dxa"/>
            <w:gridSpan w:val="2"/>
            <w:tcMar>
              <w:top w:w="15" w:type="dxa"/>
              <w:left w:w="15" w:type="dxa"/>
              <w:bottom w:w="15" w:type="dxa"/>
              <w:right w:w="15" w:type="dxa"/>
            </w:tcMar>
          </w:tcPr>
          <w:p w14:paraId="5C130669" w14:textId="77777777" w:rsidR="007A7D7B" w:rsidRPr="007A7D7B" w:rsidRDefault="007A7D7B" w:rsidP="00E9664D">
            <w:pPr>
              <w:spacing w:after="120"/>
              <w:rPr>
                <w:bCs/>
                <w:lang w:val="ro-RO"/>
              </w:rPr>
            </w:pPr>
            <w:r w:rsidRPr="007A7D7B">
              <w:rPr>
                <w:bCs/>
                <w:lang w:val="ro-RO"/>
              </w:rPr>
              <w:t>3.6. Impactul asupra mediului înconjurător</w:t>
            </w:r>
          </w:p>
        </w:tc>
        <w:tc>
          <w:tcPr>
            <w:tcW w:w="6120" w:type="dxa"/>
            <w:gridSpan w:val="2"/>
            <w:tcMar>
              <w:top w:w="15" w:type="dxa"/>
              <w:left w:w="15" w:type="dxa"/>
              <w:bottom w:w="15" w:type="dxa"/>
              <w:right w:w="15" w:type="dxa"/>
            </w:tcMar>
          </w:tcPr>
          <w:p w14:paraId="13289601" w14:textId="02BD8E2A" w:rsidR="00262BCF" w:rsidRPr="006C3081" w:rsidRDefault="00262BCF" w:rsidP="00A46DE1">
            <w:pPr>
              <w:ind w:left="60" w:right="60"/>
              <w:rPr>
                <w:rFonts w:eastAsia="Times New Roman"/>
                <w:bCs/>
                <w:color w:val="000000"/>
                <w:szCs w:val="24"/>
                <w:lang w:val="ro-RO"/>
              </w:rPr>
            </w:pPr>
            <w:r w:rsidRPr="006C3081">
              <w:rPr>
                <w:rFonts w:eastAsia="Times New Roman"/>
                <w:bCs/>
                <w:color w:val="000000"/>
                <w:szCs w:val="24"/>
                <w:lang w:val="ro-RO"/>
              </w:rPr>
              <w:t xml:space="preserve">Strategia </w:t>
            </w:r>
            <w:r w:rsidR="00A46DE1">
              <w:rPr>
                <w:rFonts w:eastAsia="Times New Roman"/>
                <w:bCs/>
                <w:color w:val="000000"/>
                <w:szCs w:val="24"/>
                <w:lang w:val="ro-RO"/>
              </w:rPr>
              <w:t xml:space="preserve">analizată </w:t>
            </w:r>
            <w:r w:rsidRPr="006C3081">
              <w:rPr>
                <w:rFonts w:eastAsia="Times New Roman"/>
                <w:bCs/>
                <w:color w:val="000000"/>
                <w:szCs w:val="24"/>
                <w:lang w:val="ro-RO"/>
              </w:rPr>
              <w:t xml:space="preserve">nu conține un ansamblu semnificativ de criterii și de modalități pentru autorizarea și pentru punerea în aplicare a unuia sau mai multor proiecte care ar putea avea efecte semnificative asupra mediului și nu asigură resursele necesare pentru implementarea proiectelor; </w:t>
            </w:r>
          </w:p>
          <w:p w14:paraId="170F4F60" w14:textId="010CA5D4" w:rsidR="00262BCF" w:rsidRPr="006C3081" w:rsidRDefault="00262BCF" w:rsidP="00A46DE1">
            <w:pPr>
              <w:ind w:left="60" w:right="60"/>
              <w:rPr>
                <w:rFonts w:eastAsia="Times New Roman"/>
                <w:bCs/>
                <w:color w:val="000000"/>
                <w:szCs w:val="24"/>
                <w:lang w:val="ro-RO"/>
              </w:rPr>
            </w:pPr>
            <w:r w:rsidRPr="006C3081">
              <w:rPr>
                <w:rFonts w:eastAsia="Times New Roman"/>
                <w:bCs/>
                <w:color w:val="000000"/>
                <w:szCs w:val="24"/>
                <w:lang w:val="ro-RO"/>
              </w:rPr>
              <w:t>- Strategia și Planul de acțiuni analizate includ o serie de măsuri și acțiuni din domeniul gospodăririi apei, domeniu pentru care au fost elaborate documente de planificare pentru care s-au derulat proceduri de evaluare de mediu, de ex. Planu</w:t>
            </w:r>
            <w:r w:rsidR="00A46DE1">
              <w:rPr>
                <w:rFonts w:eastAsia="Times New Roman"/>
                <w:bCs/>
                <w:color w:val="000000"/>
                <w:szCs w:val="24"/>
                <w:lang w:val="ro-RO"/>
              </w:rPr>
              <w:t>rile</w:t>
            </w:r>
            <w:r w:rsidRPr="006C3081">
              <w:rPr>
                <w:rFonts w:eastAsia="Times New Roman"/>
                <w:bCs/>
                <w:color w:val="000000"/>
                <w:szCs w:val="24"/>
                <w:lang w:val="ro-RO"/>
              </w:rPr>
              <w:t xml:space="preserve"> de </w:t>
            </w:r>
            <w:r w:rsidR="00A46DE1" w:rsidRPr="006C3081">
              <w:rPr>
                <w:rFonts w:eastAsia="Times New Roman"/>
                <w:bCs/>
                <w:color w:val="000000"/>
                <w:szCs w:val="24"/>
                <w:lang w:val="ro-RO"/>
              </w:rPr>
              <w:t>management al riscului la inundații</w:t>
            </w:r>
            <w:r w:rsidRPr="006C3081">
              <w:rPr>
                <w:rFonts w:eastAsia="Times New Roman"/>
                <w:bCs/>
                <w:color w:val="000000"/>
                <w:szCs w:val="24"/>
                <w:lang w:val="ro-RO"/>
              </w:rPr>
              <w:t>,</w:t>
            </w:r>
            <w:r w:rsidR="00A46DE1">
              <w:rPr>
                <w:rFonts w:eastAsia="Times New Roman"/>
                <w:bCs/>
                <w:color w:val="000000"/>
                <w:szCs w:val="24"/>
                <w:lang w:val="ro-RO"/>
              </w:rPr>
              <w:t xml:space="preserve"> aprobate prin Hotărârea Guvernului nr. 886/2023</w:t>
            </w:r>
            <w:r w:rsidRPr="006C3081">
              <w:rPr>
                <w:rFonts w:eastAsia="Times New Roman"/>
                <w:bCs/>
                <w:color w:val="000000"/>
                <w:szCs w:val="24"/>
                <w:lang w:val="ro-RO"/>
              </w:rPr>
              <w:t xml:space="preserve">; </w:t>
            </w:r>
          </w:p>
          <w:p w14:paraId="4164D364" w14:textId="77777777" w:rsidR="00262BCF" w:rsidRPr="006C3081" w:rsidRDefault="00262BCF" w:rsidP="00A46DE1">
            <w:pPr>
              <w:ind w:left="60" w:right="60"/>
              <w:rPr>
                <w:rFonts w:eastAsia="Times New Roman"/>
                <w:bCs/>
                <w:color w:val="000000"/>
                <w:szCs w:val="24"/>
                <w:lang w:val="ro-RO"/>
              </w:rPr>
            </w:pPr>
            <w:r w:rsidRPr="006C3081">
              <w:rPr>
                <w:rFonts w:eastAsia="Times New Roman"/>
                <w:bCs/>
                <w:color w:val="000000"/>
                <w:szCs w:val="24"/>
                <w:lang w:val="ro-RO"/>
              </w:rPr>
              <w:t xml:space="preserve">- Acțiunile și măsurile propuse în Strategie sunt preluate din cele 12 planuri de management al riscului la inundații (PMRI), pentru care s-a derulat procedura de evaluare de mediu în perioada decembrie 2021 – iunie 2023, finalizată cu emiterea Avizului de mediu nr 14/08.06.2023; </w:t>
            </w:r>
          </w:p>
          <w:p w14:paraId="07E4749D" w14:textId="540E8209" w:rsidR="007A7D7B" w:rsidRPr="007A7D7B" w:rsidRDefault="00262BCF" w:rsidP="00A46DE1">
            <w:pPr>
              <w:spacing w:after="120"/>
              <w:ind w:left="60" w:right="60"/>
              <w:rPr>
                <w:bCs/>
                <w:lang w:val="ro-RO"/>
              </w:rPr>
            </w:pPr>
            <w:r w:rsidRPr="006C3081">
              <w:rPr>
                <w:rFonts w:eastAsia="Times New Roman"/>
                <w:bCs/>
                <w:color w:val="000000"/>
                <w:szCs w:val="24"/>
                <w:lang w:val="ro-RO"/>
              </w:rPr>
              <w:t xml:space="preserve">Punerea în aplicare a măsurilor și acțiunilor descrise în cadrul documentelor menționate pentru atingerea obiectivelor propuse, în special în ceea ce privește realizarea de lucrări/intervenții asupra cadrului natural se va face cu respectarea condițiilor stabilite în alte planuri/strategii naționale/programe în care se regăsesc și a prevederilor Legii nr. 292/2018 privind evaluarea impactului anumitor proiecte publice </w:t>
            </w:r>
            <w:proofErr w:type="spellStart"/>
            <w:r w:rsidRPr="006C3081">
              <w:rPr>
                <w:rFonts w:eastAsia="Times New Roman"/>
                <w:bCs/>
                <w:color w:val="000000"/>
                <w:szCs w:val="24"/>
                <w:lang w:val="ro-RO"/>
              </w:rPr>
              <w:t>şi</w:t>
            </w:r>
            <w:proofErr w:type="spellEnd"/>
            <w:r w:rsidRPr="006C3081">
              <w:rPr>
                <w:rFonts w:eastAsia="Times New Roman"/>
                <w:bCs/>
                <w:color w:val="000000"/>
                <w:szCs w:val="24"/>
                <w:lang w:val="ro-RO"/>
              </w:rPr>
              <w:t xml:space="preserve"> private asupra mediului.</w:t>
            </w:r>
          </w:p>
        </w:tc>
      </w:tr>
      <w:tr w:rsidR="007A7D7B" w:rsidRPr="007A7D7B" w14:paraId="0EBFD713" w14:textId="77777777" w:rsidTr="007A7D7B">
        <w:trPr>
          <w:tblCellSpacing w:w="0" w:type="dxa"/>
        </w:trPr>
        <w:tc>
          <w:tcPr>
            <w:tcW w:w="4140" w:type="dxa"/>
            <w:gridSpan w:val="2"/>
            <w:tcMar>
              <w:top w:w="15" w:type="dxa"/>
              <w:left w:w="15" w:type="dxa"/>
              <w:bottom w:w="15" w:type="dxa"/>
              <w:right w:w="15" w:type="dxa"/>
            </w:tcMar>
          </w:tcPr>
          <w:p w14:paraId="3EBDA6B6" w14:textId="77777777" w:rsidR="007A7D7B" w:rsidRPr="007A7D7B" w:rsidRDefault="007A7D7B" w:rsidP="00E9664D">
            <w:pPr>
              <w:spacing w:after="120"/>
              <w:rPr>
                <w:bCs/>
                <w:lang w:val="ro-RO"/>
              </w:rPr>
            </w:pPr>
            <w:r w:rsidRPr="007A7D7B">
              <w:rPr>
                <w:bCs/>
                <w:lang w:val="ro-RO"/>
              </w:rPr>
              <w:t xml:space="preserve">3.7. Evaluarea costurilor </w:t>
            </w:r>
            <w:proofErr w:type="spellStart"/>
            <w:r w:rsidRPr="007A7D7B">
              <w:rPr>
                <w:bCs/>
                <w:lang w:val="ro-RO"/>
              </w:rPr>
              <w:t>şi</w:t>
            </w:r>
            <w:proofErr w:type="spellEnd"/>
            <w:r w:rsidRPr="007A7D7B">
              <w:rPr>
                <w:bCs/>
                <w:lang w:val="ro-RO"/>
              </w:rPr>
              <w:t xml:space="preserve"> beneficiilor din perspectiva inovării </w:t>
            </w:r>
            <w:proofErr w:type="spellStart"/>
            <w:r w:rsidRPr="007A7D7B">
              <w:rPr>
                <w:bCs/>
                <w:lang w:val="ro-RO"/>
              </w:rPr>
              <w:t>şi</w:t>
            </w:r>
            <w:proofErr w:type="spellEnd"/>
            <w:r w:rsidRPr="007A7D7B">
              <w:rPr>
                <w:bCs/>
                <w:lang w:val="ro-RO"/>
              </w:rPr>
              <w:t xml:space="preserve"> digitalizării</w:t>
            </w:r>
          </w:p>
        </w:tc>
        <w:tc>
          <w:tcPr>
            <w:tcW w:w="6120" w:type="dxa"/>
            <w:gridSpan w:val="2"/>
            <w:tcMar>
              <w:top w:w="15" w:type="dxa"/>
              <w:left w:w="15" w:type="dxa"/>
              <w:bottom w:w="15" w:type="dxa"/>
              <w:right w:w="15" w:type="dxa"/>
            </w:tcMar>
          </w:tcPr>
          <w:p w14:paraId="0CB1741B" w14:textId="29209AF0" w:rsidR="007A7D7B" w:rsidRPr="007A7D7B" w:rsidRDefault="00A46DE1" w:rsidP="00E9664D">
            <w:pPr>
              <w:spacing w:after="120"/>
              <w:ind w:left="60"/>
              <w:rPr>
                <w:bCs/>
                <w:lang w:val="ro-RO"/>
              </w:rPr>
            </w:pPr>
            <w:r w:rsidRPr="00DD6C6D">
              <w:rPr>
                <w:bCs/>
                <w:lang w:val="ro-RO"/>
              </w:rPr>
              <w:t>Proiectul  de  act normativ nu se  referă  la acest subiect.</w:t>
            </w:r>
          </w:p>
        </w:tc>
      </w:tr>
      <w:tr w:rsidR="007A7D7B" w:rsidRPr="007A7D7B" w14:paraId="3111A320" w14:textId="77777777" w:rsidTr="007A7D7B">
        <w:trPr>
          <w:tblCellSpacing w:w="0" w:type="dxa"/>
        </w:trPr>
        <w:tc>
          <w:tcPr>
            <w:tcW w:w="4140" w:type="dxa"/>
            <w:gridSpan w:val="2"/>
            <w:tcMar>
              <w:top w:w="15" w:type="dxa"/>
              <w:left w:w="15" w:type="dxa"/>
              <w:bottom w:w="15" w:type="dxa"/>
              <w:right w:w="15" w:type="dxa"/>
            </w:tcMar>
          </w:tcPr>
          <w:p w14:paraId="70AAAE45" w14:textId="77777777" w:rsidR="007A7D7B" w:rsidRPr="007A7D7B" w:rsidRDefault="007A7D7B" w:rsidP="00E9664D">
            <w:pPr>
              <w:spacing w:after="120"/>
              <w:rPr>
                <w:bCs/>
                <w:lang w:val="ro-RO"/>
              </w:rPr>
            </w:pPr>
            <w:r w:rsidRPr="007A7D7B">
              <w:rPr>
                <w:bCs/>
                <w:lang w:val="ro-RO"/>
              </w:rPr>
              <w:t xml:space="preserve">3.8. Evaluarea costurilor </w:t>
            </w:r>
            <w:proofErr w:type="spellStart"/>
            <w:r w:rsidRPr="007A7D7B">
              <w:rPr>
                <w:bCs/>
                <w:lang w:val="ro-RO"/>
              </w:rPr>
              <w:t>şi</w:t>
            </w:r>
            <w:proofErr w:type="spellEnd"/>
            <w:r w:rsidRPr="007A7D7B">
              <w:rPr>
                <w:bCs/>
                <w:lang w:val="ro-RO"/>
              </w:rPr>
              <w:t xml:space="preserve"> beneficiilor din perspectiva dezvoltării durabile</w:t>
            </w:r>
          </w:p>
        </w:tc>
        <w:tc>
          <w:tcPr>
            <w:tcW w:w="6120" w:type="dxa"/>
            <w:gridSpan w:val="2"/>
            <w:tcMar>
              <w:top w:w="15" w:type="dxa"/>
              <w:left w:w="15" w:type="dxa"/>
              <w:bottom w:w="15" w:type="dxa"/>
              <w:right w:w="15" w:type="dxa"/>
            </w:tcMar>
          </w:tcPr>
          <w:p w14:paraId="5EEC7A03" w14:textId="62E4AB6C" w:rsidR="007A7D7B" w:rsidRPr="007A7D7B" w:rsidRDefault="00A46DE1" w:rsidP="00E9664D">
            <w:pPr>
              <w:spacing w:after="120"/>
              <w:ind w:left="60"/>
              <w:rPr>
                <w:bCs/>
                <w:lang w:val="ro-RO"/>
              </w:rPr>
            </w:pPr>
            <w:r w:rsidRPr="00DD6C6D">
              <w:rPr>
                <w:bCs/>
                <w:lang w:val="ro-RO"/>
              </w:rPr>
              <w:t>Proiectul  de  act normativ nu se  referă  la acest subiect.</w:t>
            </w:r>
          </w:p>
        </w:tc>
      </w:tr>
      <w:tr w:rsidR="007A7D7B" w:rsidRPr="007A7D7B" w14:paraId="0585822E" w14:textId="77777777" w:rsidTr="007A7D7B">
        <w:trPr>
          <w:tblCellSpacing w:w="0" w:type="dxa"/>
        </w:trPr>
        <w:tc>
          <w:tcPr>
            <w:tcW w:w="4140" w:type="dxa"/>
            <w:gridSpan w:val="2"/>
            <w:tcMar>
              <w:top w:w="15" w:type="dxa"/>
              <w:left w:w="15" w:type="dxa"/>
              <w:bottom w:w="15" w:type="dxa"/>
              <w:right w:w="15" w:type="dxa"/>
            </w:tcMar>
          </w:tcPr>
          <w:p w14:paraId="0CABDAE5" w14:textId="77777777" w:rsidR="007A7D7B" w:rsidRPr="007A7D7B" w:rsidRDefault="007A7D7B" w:rsidP="00E9664D">
            <w:pPr>
              <w:spacing w:after="120"/>
              <w:rPr>
                <w:bCs/>
                <w:lang w:val="ro-RO"/>
              </w:rPr>
            </w:pPr>
            <w:r w:rsidRPr="007A7D7B">
              <w:rPr>
                <w:bCs/>
                <w:lang w:val="ro-RO"/>
              </w:rPr>
              <w:t xml:space="preserve">3.9. Alte </w:t>
            </w:r>
            <w:proofErr w:type="spellStart"/>
            <w:r w:rsidRPr="007A7D7B">
              <w:rPr>
                <w:bCs/>
                <w:lang w:val="ro-RO"/>
              </w:rPr>
              <w:t>informaţii</w:t>
            </w:r>
            <w:proofErr w:type="spellEnd"/>
          </w:p>
        </w:tc>
        <w:tc>
          <w:tcPr>
            <w:tcW w:w="6120" w:type="dxa"/>
            <w:gridSpan w:val="2"/>
            <w:tcMar>
              <w:top w:w="15" w:type="dxa"/>
              <w:left w:w="15" w:type="dxa"/>
              <w:bottom w:w="15" w:type="dxa"/>
              <w:right w:w="15" w:type="dxa"/>
            </w:tcMar>
          </w:tcPr>
          <w:p w14:paraId="6E8AD19A" w14:textId="6B7E6A18" w:rsidR="007A7D7B" w:rsidRPr="007A7D7B" w:rsidRDefault="00A46DE1" w:rsidP="00E9664D">
            <w:pPr>
              <w:spacing w:after="120"/>
              <w:ind w:left="60"/>
              <w:rPr>
                <w:bCs/>
                <w:lang w:val="ro-RO"/>
              </w:rPr>
            </w:pPr>
            <w:r w:rsidRPr="00DD6C6D">
              <w:rPr>
                <w:bCs/>
                <w:lang w:val="ro-RO"/>
              </w:rPr>
              <w:t>Nu au fost identificate.</w:t>
            </w:r>
          </w:p>
          <w:p w14:paraId="5E97EDAA" w14:textId="77777777" w:rsidR="007A7D7B" w:rsidRPr="007A7D7B" w:rsidRDefault="007A7D7B" w:rsidP="00E9664D">
            <w:pPr>
              <w:spacing w:after="120"/>
              <w:ind w:left="60"/>
              <w:rPr>
                <w:bCs/>
                <w:lang w:val="ro-RO"/>
              </w:rPr>
            </w:pPr>
          </w:p>
        </w:tc>
      </w:tr>
      <w:tr w:rsidR="007A7D7B" w:rsidRPr="007A7D7B" w14:paraId="1E304E5C" w14:textId="77777777" w:rsidTr="007A7D7B">
        <w:trPr>
          <w:trHeight w:val="645"/>
          <w:tblCellSpacing w:w="0" w:type="dxa"/>
        </w:trPr>
        <w:tc>
          <w:tcPr>
            <w:tcW w:w="10260" w:type="dxa"/>
            <w:gridSpan w:val="4"/>
            <w:tcMar>
              <w:top w:w="15" w:type="dxa"/>
              <w:left w:w="15" w:type="dxa"/>
              <w:bottom w:w="15" w:type="dxa"/>
              <w:right w:w="15" w:type="dxa"/>
            </w:tcMar>
            <w:vAlign w:val="center"/>
          </w:tcPr>
          <w:p w14:paraId="6DDFD601" w14:textId="77777777" w:rsidR="007A7D7B" w:rsidRPr="007A7D7B" w:rsidRDefault="007A7D7B" w:rsidP="00E9664D">
            <w:pPr>
              <w:spacing w:after="120"/>
              <w:rPr>
                <w:bCs/>
                <w:lang w:val="ro-RO"/>
              </w:rPr>
            </w:pPr>
          </w:p>
          <w:tbl>
            <w:tblPr>
              <w:tblW w:w="10513" w:type="dxa"/>
              <w:jc w:val="center"/>
              <w:tblLayout w:type="fixed"/>
              <w:tblLook w:val="0160" w:firstRow="1" w:lastRow="1" w:firstColumn="0" w:lastColumn="1" w:noHBand="0" w:noVBand="0"/>
            </w:tblPr>
            <w:tblGrid>
              <w:gridCol w:w="4035"/>
              <w:gridCol w:w="810"/>
              <w:gridCol w:w="1080"/>
              <w:gridCol w:w="1170"/>
              <w:gridCol w:w="1080"/>
              <w:gridCol w:w="1080"/>
              <w:gridCol w:w="1250"/>
              <w:gridCol w:w="8"/>
            </w:tblGrid>
            <w:tr w:rsidR="007A7D7B" w:rsidRPr="007A7D7B" w14:paraId="7D88B0BF" w14:textId="77777777" w:rsidTr="00805BDB">
              <w:trPr>
                <w:trHeight w:val="638"/>
                <w:jc w:val="center"/>
              </w:trPr>
              <w:tc>
                <w:tcPr>
                  <w:tcW w:w="10513" w:type="dxa"/>
                  <w:gridSpan w:val="8"/>
                  <w:tcBorders>
                    <w:bottom w:val="single" w:sz="4" w:space="0" w:color="auto"/>
                  </w:tcBorders>
                  <w:shd w:val="clear" w:color="auto" w:fill="auto"/>
                </w:tcPr>
                <w:p w14:paraId="3F21E684" w14:textId="77777777" w:rsidR="007A7D7B" w:rsidRPr="007A7D7B" w:rsidRDefault="007A7D7B" w:rsidP="00E9664D">
                  <w:pPr>
                    <w:tabs>
                      <w:tab w:val="left" w:pos="387"/>
                    </w:tabs>
                    <w:spacing w:after="120"/>
                    <w:jc w:val="center"/>
                    <w:rPr>
                      <w:b/>
                      <w:lang w:val="ro-RO"/>
                    </w:rPr>
                  </w:pPr>
                  <w:r w:rsidRPr="007A7D7B">
                    <w:rPr>
                      <w:b/>
                      <w:lang w:val="ro-RO"/>
                    </w:rPr>
                    <w:t xml:space="preserve">Secțiunea a 4-a </w:t>
                  </w:r>
                </w:p>
                <w:p w14:paraId="12951D10" w14:textId="77777777" w:rsidR="007A7D7B" w:rsidRPr="007A7D7B" w:rsidRDefault="007A7D7B" w:rsidP="00E9664D">
                  <w:pPr>
                    <w:tabs>
                      <w:tab w:val="left" w:pos="387"/>
                    </w:tabs>
                    <w:spacing w:after="120"/>
                    <w:jc w:val="center"/>
                    <w:rPr>
                      <w:bCs/>
                      <w:lang w:val="ro-RO"/>
                    </w:rPr>
                  </w:pPr>
                  <w:r w:rsidRPr="007A7D7B">
                    <w:rPr>
                      <w:b/>
                      <w:lang w:val="ro-RO"/>
                    </w:rPr>
                    <w:t xml:space="preserve">Impactul financiar asupra bugetului general consolidat atât pe termen scurt, pentru anul curent, cât </w:t>
                  </w:r>
                  <w:proofErr w:type="spellStart"/>
                  <w:r w:rsidRPr="007A7D7B">
                    <w:rPr>
                      <w:b/>
                      <w:lang w:val="ro-RO"/>
                    </w:rPr>
                    <w:t>şi</w:t>
                  </w:r>
                  <w:proofErr w:type="spellEnd"/>
                  <w:r w:rsidRPr="007A7D7B">
                    <w:rPr>
                      <w:b/>
                      <w:lang w:val="ro-RO"/>
                    </w:rPr>
                    <w:t xml:space="preserve"> pe termen lung (pe 5 ani), inclusiv </w:t>
                  </w:r>
                  <w:proofErr w:type="spellStart"/>
                  <w:r w:rsidRPr="007A7D7B">
                    <w:rPr>
                      <w:b/>
                      <w:lang w:val="ro-RO"/>
                    </w:rPr>
                    <w:t>informaţii</w:t>
                  </w:r>
                  <w:proofErr w:type="spellEnd"/>
                  <w:r w:rsidRPr="007A7D7B">
                    <w:rPr>
                      <w:b/>
                      <w:lang w:val="ro-RO"/>
                    </w:rPr>
                    <w:t xml:space="preserve"> cu privire la cheltuieli </w:t>
                  </w:r>
                  <w:proofErr w:type="spellStart"/>
                  <w:r w:rsidRPr="007A7D7B">
                    <w:rPr>
                      <w:b/>
                      <w:lang w:val="ro-RO"/>
                    </w:rPr>
                    <w:t>şi</w:t>
                  </w:r>
                  <w:proofErr w:type="spellEnd"/>
                  <w:r w:rsidRPr="007A7D7B">
                    <w:rPr>
                      <w:b/>
                      <w:lang w:val="ro-RO"/>
                    </w:rPr>
                    <w:t xml:space="preserve"> venituri</w:t>
                  </w:r>
                </w:p>
              </w:tc>
            </w:tr>
            <w:tr w:rsidR="007A7D7B" w:rsidRPr="007A7D7B" w14:paraId="70386FF2" w14:textId="77777777" w:rsidTr="00805BDB">
              <w:trPr>
                <w:trHeight w:val="162"/>
                <w:jc w:val="center"/>
              </w:trPr>
              <w:tc>
                <w:tcPr>
                  <w:tcW w:w="10513" w:type="dxa"/>
                  <w:gridSpan w:val="8"/>
                  <w:tcBorders>
                    <w:top w:val="single" w:sz="4" w:space="0" w:color="auto"/>
                    <w:left w:val="single" w:sz="4" w:space="0" w:color="auto"/>
                    <w:bottom w:val="single" w:sz="4" w:space="0" w:color="auto"/>
                    <w:right w:val="single" w:sz="4" w:space="0" w:color="auto"/>
                  </w:tcBorders>
                  <w:shd w:val="clear" w:color="auto" w:fill="auto"/>
                </w:tcPr>
                <w:p w14:paraId="7FF18997" w14:textId="77777777" w:rsidR="007A7D7B" w:rsidRPr="007A7D7B" w:rsidRDefault="007A7D7B" w:rsidP="00E9664D">
                  <w:pPr>
                    <w:spacing w:after="120"/>
                    <w:ind w:left="720" w:hanging="720"/>
                    <w:jc w:val="right"/>
                    <w:rPr>
                      <w:bCs/>
                      <w:lang w:val="ro-RO"/>
                    </w:rPr>
                  </w:pPr>
                  <w:r w:rsidRPr="007A7D7B">
                    <w:rPr>
                      <w:bCs/>
                      <w:lang w:val="ro-RO"/>
                    </w:rPr>
                    <w:t>- mii lei -</w:t>
                  </w:r>
                </w:p>
              </w:tc>
            </w:tr>
            <w:tr w:rsidR="007A7D7B" w:rsidRPr="007A7D7B" w14:paraId="1BE8137A" w14:textId="77777777" w:rsidTr="00805BDB">
              <w:trPr>
                <w:gridAfter w:val="1"/>
                <w:wAfter w:w="8" w:type="dxa"/>
                <w:trHeight w:val="270"/>
                <w:jc w:val="center"/>
              </w:trPr>
              <w:tc>
                <w:tcPr>
                  <w:tcW w:w="4035" w:type="dxa"/>
                  <w:vMerge w:val="restart"/>
                  <w:tcBorders>
                    <w:top w:val="single" w:sz="4" w:space="0" w:color="auto"/>
                    <w:left w:val="single" w:sz="4" w:space="0" w:color="auto"/>
                    <w:right w:val="single" w:sz="4" w:space="0" w:color="auto"/>
                  </w:tcBorders>
                  <w:shd w:val="clear" w:color="auto" w:fill="auto"/>
                </w:tcPr>
                <w:p w14:paraId="402B8E20" w14:textId="77777777" w:rsidR="007A7D7B" w:rsidRPr="007A7D7B" w:rsidRDefault="007A7D7B" w:rsidP="00E9664D">
                  <w:pPr>
                    <w:tabs>
                      <w:tab w:val="left" w:pos="6705"/>
                    </w:tabs>
                    <w:spacing w:after="120"/>
                    <w:ind w:left="720" w:hanging="720"/>
                    <w:jc w:val="center"/>
                    <w:rPr>
                      <w:bCs/>
                      <w:lang w:val="ro-RO"/>
                    </w:rPr>
                  </w:pPr>
                </w:p>
                <w:p w14:paraId="61F83B2A" w14:textId="77777777" w:rsidR="007A7D7B" w:rsidRPr="007A7D7B" w:rsidRDefault="007A7D7B" w:rsidP="00E9664D">
                  <w:pPr>
                    <w:tabs>
                      <w:tab w:val="left" w:pos="6705"/>
                    </w:tabs>
                    <w:spacing w:after="120"/>
                    <w:ind w:left="720" w:hanging="720"/>
                    <w:jc w:val="center"/>
                    <w:rPr>
                      <w:bCs/>
                      <w:lang w:val="ro-RO"/>
                    </w:rPr>
                  </w:pPr>
                  <w:r w:rsidRPr="007A7D7B">
                    <w:rPr>
                      <w:bCs/>
                      <w:lang w:val="ro-RO"/>
                    </w:rPr>
                    <w:t>Indicatori</w:t>
                  </w:r>
                </w:p>
                <w:p w14:paraId="0B02966C" w14:textId="77777777" w:rsidR="007A7D7B" w:rsidRPr="007A7D7B" w:rsidRDefault="007A7D7B" w:rsidP="00E9664D">
                  <w:pPr>
                    <w:tabs>
                      <w:tab w:val="left" w:pos="6450"/>
                    </w:tabs>
                    <w:spacing w:after="120"/>
                    <w:ind w:left="720" w:hanging="720"/>
                    <w:jc w:val="center"/>
                    <w:rPr>
                      <w:bCs/>
                      <w:lang w:val="ro-RO"/>
                    </w:rPr>
                  </w:pPr>
                </w:p>
              </w:tc>
              <w:tc>
                <w:tcPr>
                  <w:tcW w:w="810" w:type="dxa"/>
                  <w:vMerge w:val="restart"/>
                  <w:tcBorders>
                    <w:top w:val="single" w:sz="4" w:space="0" w:color="auto"/>
                    <w:left w:val="single" w:sz="4" w:space="0" w:color="auto"/>
                    <w:right w:val="single" w:sz="4" w:space="0" w:color="auto"/>
                  </w:tcBorders>
                  <w:shd w:val="clear" w:color="auto" w:fill="auto"/>
                </w:tcPr>
                <w:p w14:paraId="7D5170BE" w14:textId="77777777" w:rsidR="007A7D7B" w:rsidRPr="007A7D7B" w:rsidRDefault="007A7D7B" w:rsidP="00E9664D">
                  <w:pPr>
                    <w:spacing w:after="120"/>
                    <w:jc w:val="center"/>
                    <w:rPr>
                      <w:bCs/>
                      <w:lang w:val="ro-RO"/>
                    </w:rPr>
                  </w:pPr>
                </w:p>
                <w:p w14:paraId="385F1C1D" w14:textId="77777777" w:rsidR="007A7D7B" w:rsidRPr="007A7D7B" w:rsidRDefault="007A7D7B" w:rsidP="00E9664D">
                  <w:pPr>
                    <w:spacing w:after="120"/>
                    <w:jc w:val="center"/>
                    <w:rPr>
                      <w:bCs/>
                      <w:lang w:val="ro-RO"/>
                    </w:rPr>
                  </w:pPr>
                  <w:r w:rsidRPr="007A7D7B">
                    <w:rPr>
                      <w:bCs/>
                      <w:lang w:val="ro-RO"/>
                    </w:rPr>
                    <w:t>2023</w:t>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14:paraId="33C65E60" w14:textId="77777777" w:rsidR="007A7D7B" w:rsidRPr="007A7D7B" w:rsidRDefault="007A7D7B" w:rsidP="00E9664D">
                  <w:pPr>
                    <w:tabs>
                      <w:tab w:val="left" w:pos="6450"/>
                    </w:tabs>
                    <w:spacing w:after="120"/>
                    <w:jc w:val="center"/>
                    <w:rPr>
                      <w:bCs/>
                      <w:lang w:val="ro-RO"/>
                    </w:rPr>
                  </w:pPr>
                  <w:r w:rsidRPr="007A7D7B">
                    <w:rPr>
                      <w:bCs/>
                      <w:lang w:val="ro-RO"/>
                    </w:rPr>
                    <w:t>Următorii 4 ani</w:t>
                  </w:r>
                </w:p>
              </w:tc>
              <w:tc>
                <w:tcPr>
                  <w:tcW w:w="1250" w:type="dxa"/>
                  <w:vMerge w:val="restart"/>
                  <w:tcBorders>
                    <w:top w:val="single" w:sz="4" w:space="0" w:color="auto"/>
                    <w:left w:val="single" w:sz="4" w:space="0" w:color="auto"/>
                    <w:right w:val="single" w:sz="4" w:space="0" w:color="auto"/>
                  </w:tcBorders>
                  <w:shd w:val="clear" w:color="auto" w:fill="auto"/>
                </w:tcPr>
                <w:p w14:paraId="5C1F5A8C" w14:textId="77777777" w:rsidR="007A7D7B" w:rsidRPr="007A7D7B" w:rsidRDefault="007A7D7B" w:rsidP="00E9664D">
                  <w:pPr>
                    <w:spacing w:after="120"/>
                    <w:jc w:val="center"/>
                    <w:rPr>
                      <w:bCs/>
                      <w:lang w:val="ro-RO"/>
                    </w:rPr>
                  </w:pPr>
                  <w:r w:rsidRPr="007A7D7B">
                    <w:rPr>
                      <w:bCs/>
                      <w:lang w:val="ro-RO"/>
                    </w:rPr>
                    <w:t>Media pe</w:t>
                  </w:r>
                </w:p>
                <w:p w14:paraId="39E18640" w14:textId="77777777" w:rsidR="007A7D7B" w:rsidRPr="007A7D7B" w:rsidRDefault="007A7D7B" w:rsidP="00E9664D">
                  <w:pPr>
                    <w:tabs>
                      <w:tab w:val="left" w:pos="6450"/>
                    </w:tabs>
                    <w:spacing w:after="120"/>
                    <w:jc w:val="center"/>
                    <w:rPr>
                      <w:bCs/>
                      <w:lang w:val="ro-RO"/>
                    </w:rPr>
                  </w:pPr>
                  <w:r w:rsidRPr="007A7D7B">
                    <w:rPr>
                      <w:bCs/>
                      <w:lang w:val="ro-RO"/>
                    </w:rPr>
                    <w:t>5 ani</w:t>
                  </w:r>
                </w:p>
              </w:tc>
            </w:tr>
            <w:tr w:rsidR="007A7D7B" w:rsidRPr="007A7D7B" w14:paraId="36EEBECC" w14:textId="77777777" w:rsidTr="00805BDB">
              <w:trPr>
                <w:gridAfter w:val="1"/>
                <w:wAfter w:w="8" w:type="dxa"/>
                <w:trHeight w:val="540"/>
                <w:jc w:val="center"/>
              </w:trPr>
              <w:tc>
                <w:tcPr>
                  <w:tcW w:w="4035" w:type="dxa"/>
                  <w:vMerge/>
                  <w:tcBorders>
                    <w:left w:val="single" w:sz="4" w:space="0" w:color="auto"/>
                    <w:bottom w:val="single" w:sz="4" w:space="0" w:color="auto"/>
                    <w:right w:val="single" w:sz="4" w:space="0" w:color="auto"/>
                  </w:tcBorders>
                  <w:shd w:val="clear" w:color="auto" w:fill="auto"/>
                </w:tcPr>
                <w:p w14:paraId="313FFB13" w14:textId="77777777" w:rsidR="007A7D7B" w:rsidRPr="007A7D7B" w:rsidRDefault="007A7D7B" w:rsidP="00E9664D">
                  <w:pPr>
                    <w:tabs>
                      <w:tab w:val="left" w:pos="6705"/>
                    </w:tabs>
                    <w:spacing w:after="120"/>
                    <w:ind w:left="720" w:hanging="720"/>
                    <w:jc w:val="center"/>
                    <w:rPr>
                      <w:bCs/>
                      <w:lang w:val="ro-RO"/>
                    </w:rPr>
                  </w:pPr>
                </w:p>
              </w:tc>
              <w:tc>
                <w:tcPr>
                  <w:tcW w:w="810" w:type="dxa"/>
                  <w:vMerge/>
                  <w:tcBorders>
                    <w:left w:val="single" w:sz="4" w:space="0" w:color="auto"/>
                    <w:bottom w:val="single" w:sz="4" w:space="0" w:color="auto"/>
                    <w:right w:val="single" w:sz="4" w:space="0" w:color="auto"/>
                  </w:tcBorders>
                  <w:shd w:val="clear" w:color="auto" w:fill="auto"/>
                </w:tcPr>
                <w:p w14:paraId="7E8FD3E0" w14:textId="77777777" w:rsidR="007A7D7B" w:rsidRPr="007A7D7B" w:rsidRDefault="007A7D7B" w:rsidP="00E9664D">
                  <w:pPr>
                    <w:spacing w:after="120"/>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C03F9E" w14:textId="77777777" w:rsidR="007A7D7B" w:rsidRPr="007A7D7B" w:rsidRDefault="007A7D7B" w:rsidP="00E9664D">
                  <w:pPr>
                    <w:tabs>
                      <w:tab w:val="left" w:pos="6450"/>
                    </w:tabs>
                    <w:spacing w:after="120"/>
                    <w:jc w:val="center"/>
                    <w:rPr>
                      <w:bCs/>
                      <w:lang w:val="ro-RO"/>
                    </w:rPr>
                  </w:pPr>
                  <w:r w:rsidRPr="007A7D7B">
                    <w:rPr>
                      <w:bCs/>
                      <w:lang w:val="ro-RO"/>
                    </w:rPr>
                    <w:t>2024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58B5B" w14:textId="77777777" w:rsidR="007A7D7B" w:rsidRPr="007A7D7B" w:rsidRDefault="007A7D7B" w:rsidP="00E9664D">
                  <w:pPr>
                    <w:tabs>
                      <w:tab w:val="left" w:pos="6450"/>
                    </w:tabs>
                    <w:spacing w:after="120"/>
                    <w:jc w:val="center"/>
                    <w:rPr>
                      <w:bCs/>
                      <w:lang w:val="ro-RO"/>
                    </w:rPr>
                  </w:pPr>
                  <w:r w:rsidRPr="007A7D7B">
                    <w:rPr>
                      <w:bCs/>
                      <w:lang w:val="ro-RO"/>
                    </w:rPr>
                    <w:t>2025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CFFEBF" w14:textId="77777777" w:rsidR="007A7D7B" w:rsidRPr="007A7D7B" w:rsidRDefault="007A7D7B" w:rsidP="00E9664D">
                  <w:pPr>
                    <w:tabs>
                      <w:tab w:val="left" w:pos="6450"/>
                    </w:tabs>
                    <w:spacing w:after="120"/>
                    <w:jc w:val="center"/>
                    <w:rPr>
                      <w:bCs/>
                      <w:lang w:val="ro-RO"/>
                    </w:rPr>
                  </w:pPr>
                  <w:r w:rsidRPr="007A7D7B">
                    <w:rPr>
                      <w:bCs/>
                      <w:lang w:val="ro-RO"/>
                    </w:rPr>
                    <w:t>2026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CB34F" w14:textId="77777777" w:rsidR="007A7D7B" w:rsidRPr="007A7D7B" w:rsidRDefault="007A7D7B" w:rsidP="00E9664D">
                  <w:pPr>
                    <w:tabs>
                      <w:tab w:val="left" w:pos="6450"/>
                    </w:tabs>
                    <w:spacing w:after="120"/>
                    <w:jc w:val="center"/>
                    <w:rPr>
                      <w:bCs/>
                      <w:lang w:val="ro-RO"/>
                    </w:rPr>
                  </w:pPr>
                  <w:r w:rsidRPr="007A7D7B">
                    <w:rPr>
                      <w:bCs/>
                      <w:lang w:val="ro-RO"/>
                    </w:rPr>
                    <w:t>2027</w:t>
                  </w:r>
                </w:p>
              </w:tc>
              <w:tc>
                <w:tcPr>
                  <w:tcW w:w="1250" w:type="dxa"/>
                  <w:vMerge/>
                  <w:tcBorders>
                    <w:left w:val="single" w:sz="4" w:space="0" w:color="auto"/>
                    <w:bottom w:val="single" w:sz="4" w:space="0" w:color="auto"/>
                    <w:right w:val="single" w:sz="4" w:space="0" w:color="auto"/>
                  </w:tcBorders>
                  <w:shd w:val="clear" w:color="auto" w:fill="auto"/>
                </w:tcPr>
                <w:p w14:paraId="7F27DA4D" w14:textId="77777777" w:rsidR="007A7D7B" w:rsidRPr="007A7D7B" w:rsidRDefault="007A7D7B" w:rsidP="00E9664D">
                  <w:pPr>
                    <w:spacing w:after="120"/>
                    <w:jc w:val="center"/>
                    <w:rPr>
                      <w:bCs/>
                      <w:lang w:val="ro-RO"/>
                    </w:rPr>
                  </w:pPr>
                </w:p>
              </w:tc>
            </w:tr>
            <w:tr w:rsidR="007A7D7B" w:rsidRPr="007A7D7B" w14:paraId="0D858EC2" w14:textId="77777777" w:rsidTr="00805BDB">
              <w:trPr>
                <w:gridAfter w:val="1"/>
                <w:wAfter w:w="8" w:type="dxa"/>
                <w:trHeight w:val="241"/>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001A77A6" w14:textId="77777777" w:rsidR="007A7D7B" w:rsidRPr="007A7D7B" w:rsidRDefault="007A7D7B" w:rsidP="00E9664D">
                  <w:pPr>
                    <w:tabs>
                      <w:tab w:val="left" w:pos="2715"/>
                    </w:tabs>
                    <w:spacing w:after="120"/>
                    <w:jc w:val="center"/>
                    <w:rPr>
                      <w:bCs/>
                      <w:lang w:val="ro-RO"/>
                    </w:rPr>
                  </w:pPr>
                  <w:r w:rsidRPr="007A7D7B">
                    <w:rPr>
                      <w:bCs/>
                      <w:lang w:val="ro-RO"/>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6CBF20" w14:textId="77777777" w:rsidR="007A7D7B" w:rsidRPr="007A7D7B" w:rsidRDefault="007A7D7B" w:rsidP="00E9664D">
                  <w:pPr>
                    <w:tabs>
                      <w:tab w:val="left" w:pos="2715"/>
                    </w:tabs>
                    <w:spacing w:after="120"/>
                    <w:jc w:val="center"/>
                    <w:rPr>
                      <w:bCs/>
                      <w:lang w:val="ro-RO"/>
                    </w:rPr>
                  </w:pPr>
                  <w:r w:rsidRPr="007A7D7B">
                    <w:rPr>
                      <w:bCs/>
                      <w:lang w:val="ro-RO"/>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ECDB5B" w14:textId="77777777" w:rsidR="007A7D7B" w:rsidRPr="007A7D7B" w:rsidRDefault="007A7D7B" w:rsidP="00E9664D">
                  <w:pPr>
                    <w:tabs>
                      <w:tab w:val="left" w:pos="2715"/>
                    </w:tabs>
                    <w:spacing w:after="120"/>
                    <w:jc w:val="center"/>
                    <w:rPr>
                      <w:bCs/>
                      <w:lang w:val="ro-RO"/>
                    </w:rPr>
                  </w:pPr>
                  <w:r w:rsidRPr="007A7D7B">
                    <w:rPr>
                      <w:bCs/>
                      <w:lang w:val="ro-RO"/>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A82B20" w14:textId="77777777" w:rsidR="007A7D7B" w:rsidRPr="007A7D7B" w:rsidRDefault="007A7D7B" w:rsidP="00E9664D">
                  <w:pPr>
                    <w:tabs>
                      <w:tab w:val="left" w:pos="2715"/>
                    </w:tabs>
                    <w:spacing w:after="120"/>
                    <w:jc w:val="center"/>
                    <w:rPr>
                      <w:bCs/>
                      <w:lang w:val="ro-RO"/>
                    </w:rPr>
                  </w:pPr>
                  <w:r w:rsidRPr="007A7D7B">
                    <w:rPr>
                      <w:bCs/>
                      <w:lang w:val="ro-RO"/>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8B3A6C" w14:textId="77777777" w:rsidR="007A7D7B" w:rsidRPr="007A7D7B" w:rsidRDefault="007A7D7B" w:rsidP="00E9664D">
                  <w:pPr>
                    <w:tabs>
                      <w:tab w:val="left" w:pos="2715"/>
                    </w:tabs>
                    <w:spacing w:after="120"/>
                    <w:jc w:val="center"/>
                    <w:rPr>
                      <w:bCs/>
                      <w:lang w:val="ro-RO"/>
                    </w:rPr>
                  </w:pPr>
                  <w:r w:rsidRPr="007A7D7B">
                    <w:rPr>
                      <w:bCs/>
                      <w:lang w:val="ro-RO"/>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4D2C3C" w14:textId="77777777" w:rsidR="007A7D7B" w:rsidRPr="007A7D7B" w:rsidRDefault="007A7D7B" w:rsidP="00E9664D">
                  <w:pPr>
                    <w:tabs>
                      <w:tab w:val="left" w:pos="2715"/>
                    </w:tabs>
                    <w:spacing w:after="120"/>
                    <w:jc w:val="center"/>
                    <w:rPr>
                      <w:bCs/>
                      <w:lang w:val="ro-RO"/>
                    </w:rPr>
                  </w:pPr>
                  <w:r w:rsidRPr="007A7D7B">
                    <w:rPr>
                      <w:bCs/>
                      <w:lang w:val="ro-RO"/>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EA6BBF5" w14:textId="77777777" w:rsidR="007A7D7B" w:rsidRPr="007A7D7B" w:rsidRDefault="007A7D7B" w:rsidP="00E9664D">
                  <w:pPr>
                    <w:tabs>
                      <w:tab w:val="left" w:pos="2715"/>
                    </w:tabs>
                    <w:spacing w:after="120"/>
                    <w:jc w:val="center"/>
                    <w:rPr>
                      <w:bCs/>
                      <w:lang w:val="ro-RO"/>
                    </w:rPr>
                  </w:pPr>
                  <w:r w:rsidRPr="007A7D7B">
                    <w:rPr>
                      <w:bCs/>
                      <w:lang w:val="ro-RO"/>
                    </w:rPr>
                    <w:t>7</w:t>
                  </w:r>
                </w:p>
              </w:tc>
            </w:tr>
            <w:tr w:rsidR="007A7D7B" w:rsidRPr="007A7D7B" w14:paraId="335226A0" w14:textId="77777777" w:rsidTr="00805BDB">
              <w:trPr>
                <w:gridAfter w:val="1"/>
                <w:wAfter w:w="8" w:type="dxa"/>
                <w:trHeight w:val="342"/>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57C2598E" w14:textId="77777777" w:rsidR="007A7D7B" w:rsidRPr="007A7D7B" w:rsidRDefault="007A7D7B" w:rsidP="00E9664D">
                  <w:pPr>
                    <w:rPr>
                      <w:bCs/>
                      <w:lang w:val="ro-RO"/>
                    </w:rPr>
                  </w:pPr>
                  <w:r w:rsidRPr="007A7D7B">
                    <w:rPr>
                      <w:bCs/>
                      <w:lang w:val="ro-RO"/>
                    </w:rPr>
                    <w:lastRenderedPageBreak/>
                    <w:t xml:space="preserve">   4.1. Modificări ale veniturilor bugetare, plus/minus, din 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F27573"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90A6F3" w14:textId="712E6C9B" w:rsidR="007A7D7B" w:rsidRPr="007A7D7B" w:rsidRDefault="00805BDB" w:rsidP="00805BDB">
                  <w:pPr>
                    <w:jc w:val="center"/>
                    <w:rPr>
                      <w:bCs/>
                      <w:lang w:val="ro-RO"/>
                    </w:rPr>
                  </w:pPr>
                  <w:r w:rsidRPr="00FF196D">
                    <w:rPr>
                      <w:color w:val="000000"/>
                      <w:szCs w:val="24"/>
                    </w:rPr>
                    <w:t>1443450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61A0E1" w14:textId="2BA0BD58" w:rsidR="007A7D7B" w:rsidRPr="007A7D7B" w:rsidRDefault="00805BDB" w:rsidP="00805BDB">
                  <w:pPr>
                    <w:jc w:val="center"/>
                    <w:rPr>
                      <w:bCs/>
                      <w:lang w:val="ro-RO"/>
                    </w:rPr>
                  </w:pPr>
                  <w:r w:rsidRPr="00805BDB">
                    <w:rPr>
                      <w:bCs/>
                      <w:lang w:val="ro-RO"/>
                    </w:rPr>
                    <w:t>1443450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65A117" w14:textId="5C576C04" w:rsidR="007A7D7B" w:rsidRPr="007A7D7B" w:rsidRDefault="00805BDB" w:rsidP="00805BDB">
                  <w:pPr>
                    <w:jc w:val="center"/>
                    <w:rPr>
                      <w:bCs/>
                      <w:lang w:val="ro-RO"/>
                    </w:rPr>
                  </w:pPr>
                  <w:r w:rsidRPr="00FF196D">
                    <w:rPr>
                      <w:color w:val="000000"/>
                      <w:szCs w:val="24"/>
                    </w:rPr>
                    <w:t>7420300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1E8E4" w14:textId="213B4038" w:rsidR="007A7D7B" w:rsidRPr="00805BDB" w:rsidRDefault="00805BDB" w:rsidP="00805BDB">
                  <w:pPr>
                    <w:jc w:val="center"/>
                    <w:rPr>
                      <w:bCs/>
                      <w:szCs w:val="24"/>
                      <w:lang w:val="ro-RO"/>
                    </w:rPr>
                  </w:pPr>
                  <w:r w:rsidRPr="00805BDB">
                    <w:rPr>
                      <w:color w:val="000000"/>
                      <w:szCs w:val="24"/>
                    </w:rPr>
                    <w:t>7420300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BB03E47" w14:textId="26EA3DF0" w:rsidR="007A7D7B" w:rsidRPr="00805BDB" w:rsidRDefault="00805BDB" w:rsidP="00805BDB">
                  <w:pPr>
                    <w:ind w:hanging="194"/>
                    <w:jc w:val="center"/>
                    <w:rPr>
                      <w:color w:val="000000"/>
                      <w:szCs w:val="24"/>
                    </w:rPr>
                  </w:pPr>
                  <w:r w:rsidRPr="00805BDB">
                    <w:rPr>
                      <w:color w:val="000000"/>
                      <w:szCs w:val="24"/>
                    </w:rPr>
                    <w:t>4431875</w:t>
                  </w:r>
                </w:p>
              </w:tc>
            </w:tr>
            <w:tr w:rsidR="007A7D7B" w:rsidRPr="007A7D7B" w14:paraId="6164D0A0"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1A09346" w14:textId="77777777" w:rsidR="007A7D7B" w:rsidRPr="007A7D7B" w:rsidRDefault="007A7D7B" w:rsidP="00E9664D">
                  <w:pPr>
                    <w:rPr>
                      <w:bCs/>
                      <w:lang w:val="ro-RO"/>
                    </w:rPr>
                  </w:pPr>
                  <w:r w:rsidRPr="007A7D7B">
                    <w:rPr>
                      <w:bCs/>
                      <w:lang w:val="ro-RO"/>
                    </w:rPr>
                    <w:t xml:space="preserve">    a) buget de stat, din acesta: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3EEBC0"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E70063" w14:textId="77777777" w:rsidR="007A7D7B" w:rsidRPr="007A7D7B" w:rsidRDefault="007A7D7B" w:rsidP="00E9664D">
                  <w:pPr>
                    <w:jc w:val="center"/>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06B56D"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6AD9CF"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32B16A" w14:textId="77777777" w:rsidR="007A7D7B" w:rsidRPr="007A7D7B" w:rsidRDefault="007A7D7B" w:rsidP="00E9664D">
                  <w:pPr>
                    <w:jc w:val="center"/>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12CD19D6" w14:textId="77777777" w:rsidR="007A7D7B" w:rsidRPr="007A7D7B" w:rsidRDefault="007A7D7B" w:rsidP="00E9664D">
                  <w:pPr>
                    <w:jc w:val="center"/>
                    <w:rPr>
                      <w:bCs/>
                      <w:lang w:val="ro-RO"/>
                    </w:rPr>
                  </w:pPr>
                </w:p>
              </w:tc>
            </w:tr>
            <w:tr w:rsidR="007A7D7B" w:rsidRPr="007A7D7B" w14:paraId="06029E6E"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3A47891" w14:textId="77777777" w:rsidR="007A7D7B" w:rsidRPr="007A7D7B" w:rsidRDefault="007A7D7B" w:rsidP="00E9664D">
                  <w:pPr>
                    <w:rPr>
                      <w:bCs/>
                      <w:lang w:val="ro-RO"/>
                    </w:rPr>
                  </w:pPr>
                  <w:r w:rsidRPr="007A7D7B">
                    <w:rPr>
                      <w:bCs/>
                      <w:lang w:val="ro-RO"/>
                    </w:rPr>
                    <w:t xml:space="preserve">         (i)  impozit pe profit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B248D7"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124D0" w14:textId="77777777" w:rsidR="007A7D7B" w:rsidRPr="007A7D7B" w:rsidRDefault="007A7D7B" w:rsidP="00E9664D">
                  <w:pPr>
                    <w:jc w:val="center"/>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0E2F0F"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3010B7"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E1426" w14:textId="77777777" w:rsidR="007A7D7B" w:rsidRPr="007A7D7B" w:rsidRDefault="007A7D7B" w:rsidP="00E9664D">
                  <w:pPr>
                    <w:jc w:val="center"/>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957BD37" w14:textId="77777777" w:rsidR="007A7D7B" w:rsidRPr="007A7D7B" w:rsidRDefault="007A7D7B" w:rsidP="00E9664D">
                  <w:pPr>
                    <w:jc w:val="center"/>
                    <w:rPr>
                      <w:bCs/>
                      <w:lang w:val="ro-RO"/>
                    </w:rPr>
                  </w:pPr>
                </w:p>
              </w:tc>
            </w:tr>
            <w:tr w:rsidR="007A7D7B" w:rsidRPr="007A7D7B" w14:paraId="3F2F9D2F"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2D84A553" w14:textId="77777777" w:rsidR="007A7D7B" w:rsidRPr="007A7D7B" w:rsidRDefault="007A7D7B" w:rsidP="00E9664D">
                  <w:pPr>
                    <w:rPr>
                      <w:bCs/>
                      <w:lang w:val="ro-RO"/>
                    </w:rPr>
                  </w:pPr>
                  <w:r w:rsidRPr="007A7D7B">
                    <w:rPr>
                      <w:bCs/>
                      <w:lang w:val="ro-RO"/>
                    </w:rPr>
                    <w:t xml:space="preserve">         (ii) impozit pe venit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C71FF1"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2142A1" w14:textId="77777777" w:rsidR="007A7D7B" w:rsidRPr="007A7D7B" w:rsidRDefault="007A7D7B" w:rsidP="00E9664D">
                  <w:pPr>
                    <w:jc w:val="center"/>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0611C5"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E4B95E"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A7F5EE" w14:textId="77777777" w:rsidR="007A7D7B" w:rsidRPr="007A7D7B" w:rsidRDefault="007A7D7B" w:rsidP="00E9664D">
                  <w:pPr>
                    <w:jc w:val="center"/>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792A0CD" w14:textId="77777777" w:rsidR="007A7D7B" w:rsidRPr="007A7D7B" w:rsidRDefault="007A7D7B" w:rsidP="00E9664D">
                  <w:pPr>
                    <w:jc w:val="center"/>
                    <w:rPr>
                      <w:bCs/>
                      <w:lang w:val="ro-RO"/>
                    </w:rPr>
                  </w:pPr>
                </w:p>
              </w:tc>
            </w:tr>
            <w:tr w:rsidR="007A7D7B" w:rsidRPr="007A7D7B" w14:paraId="444495F4"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20ADDD35" w14:textId="77777777" w:rsidR="007A7D7B" w:rsidRPr="007A7D7B" w:rsidRDefault="007A7D7B" w:rsidP="00E9664D">
                  <w:pPr>
                    <w:rPr>
                      <w:bCs/>
                      <w:lang w:val="ro-RO"/>
                    </w:rPr>
                  </w:pPr>
                  <w:r w:rsidRPr="007A7D7B">
                    <w:rPr>
                      <w:bCs/>
                      <w:lang w:val="ro-RO"/>
                    </w:rPr>
                    <w:t xml:space="preserve">    b)   bugete locale: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F885"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49DDFB" w14:textId="77777777" w:rsidR="007A7D7B" w:rsidRPr="007A7D7B" w:rsidRDefault="007A7D7B" w:rsidP="00E9664D">
                  <w:pPr>
                    <w:jc w:val="center"/>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D5D3F5"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311587"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13A65F" w14:textId="77777777" w:rsidR="007A7D7B" w:rsidRPr="007A7D7B" w:rsidRDefault="007A7D7B" w:rsidP="00E9664D">
                  <w:pPr>
                    <w:jc w:val="center"/>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7E26B8A" w14:textId="77777777" w:rsidR="007A7D7B" w:rsidRPr="007A7D7B" w:rsidRDefault="007A7D7B" w:rsidP="00E9664D">
                  <w:pPr>
                    <w:jc w:val="center"/>
                    <w:rPr>
                      <w:bCs/>
                      <w:lang w:val="ro-RO"/>
                    </w:rPr>
                  </w:pPr>
                </w:p>
              </w:tc>
            </w:tr>
            <w:tr w:rsidR="007A7D7B" w:rsidRPr="007A7D7B" w14:paraId="4928CC1B"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16397F32" w14:textId="77777777" w:rsidR="007A7D7B" w:rsidRPr="007A7D7B" w:rsidRDefault="007A7D7B" w:rsidP="00E9664D">
                  <w:pPr>
                    <w:rPr>
                      <w:bCs/>
                      <w:lang w:val="ro-RO"/>
                    </w:rPr>
                  </w:pPr>
                  <w:r w:rsidRPr="007A7D7B">
                    <w:rPr>
                      <w:bCs/>
                      <w:lang w:val="ro-RO"/>
                    </w:rPr>
                    <w:t xml:space="preserve">         (i)  impozit pe profit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D15491"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A60962" w14:textId="77777777" w:rsidR="007A7D7B" w:rsidRPr="007A7D7B" w:rsidRDefault="007A7D7B" w:rsidP="00E9664D">
                  <w:pPr>
                    <w:jc w:val="center"/>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C2ABBF"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3B299" w14:textId="77777777" w:rsidR="007A7D7B" w:rsidRPr="007A7D7B" w:rsidRDefault="007A7D7B" w:rsidP="00E9664D">
                  <w:pPr>
                    <w:jc w:val="cente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278D38" w14:textId="77777777" w:rsidR="007A7D7B" w:rsidRPr="007A7D7B" w:rsidRDefault="007A7D7B" w:rsidP="00E9664D">
                  <w:pPr>
                    <w:jc w:val="center"/>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A617DED" w14:textId="77777777" w:rsidR="007A7D7B" w:rsidRPr="007A7D7B" w:rsidRDefault="007A7D7B" w:rsidP="00E9664D">
                  <w:pPr>
                    <w:jc w:val="center"/>
                    <w:rPr>
                      <w:bCs/>
                      <w:lang w:val="ro-RO"/>
                    </w:rPr>
                  </w:pPr>
                </w:p>
              </w:tc>
            </w:tr>
            <w:tr w:rsidR="007A7D7B" w:rsidRPr="007A7D7B" w14:paraId="2304516A"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D2B0DF0" w14:textId="77777777" w:rsidR="007A7D7B" w:rsidRPr="007A7D7B" w:rsidRDefault="007A7D7B" w:rsidP="00E9664D">
                  <w:pPr>
                    <w:ind w:left="255"/>
                    <w:rPr>
                      <w:bCs/>
                      <w:lang w:val="ro-RO"/>
                    </w:rPr>
                  </w:pPr>
                  <w:r w:rsidRPr="007A7D7B">
                    <w:rPr>
                      <w:bCs/>
                      <w:lang w:val="ro-RO"/>
                    </w:rPr>
                    <w:t>c) bugetul asigurărilor sociale de stat: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C279C5"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C63C47"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035518"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E469BD"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B94057"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12E62ACA" w14:textId="77777777" w:rsidR="007A7D7B" w:rsidRPr="007A7D7B" w:rsidRDefault="007A7D7B" w:rsidP="00E9664D">
                  <w:pPr>
                    <w:jc w:val="right"/>
                    <w:rPr>
                      <w:bCs/>
                      <w:lang w:val="ro-RO"/>
                    </w:rPr>
                  </w:pPr>
                </w:p>
              </w:tc>
            </w:tr>
            <w:tr w:rsidR="007A7D7B" w:rsidRPr="007A7D7B" w14:paraId="55E01FBE" w14:textId="77777777" w:rsidTr="00805BDB">
              <w:trPr>
                <w:gridAfter w:val="1"/>
                <w:wAfter w:w="8" w:type="dxa"/>
                <w:trHeight w:val="157"/>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7B414AA" w14:textId="77777777" w:rsidR="007A7D7B" w:rsidRPr="007A7D7B" w:rsidRDefault="007A7D7B" w:rsidP="00E9664D">
                  <w:pPr>
                    <w:rPr>
                      <w:bCs/>
                      <w:lang w:val="ro-RO"/>
                    </w:rPr>
                  </w:pPr>
                  <w:r w:rsidRPr="007A7D7B">
                    <w:rPr>
                      <w:bCs/>
                      <w:lang w:val="ro-RO"/>
                    </w:rPr>
                    <w:t xml:space="preserve">         (i) </w:t>
                  </w:r>
                  <w:proofErr w:type="spellStart"/>
                  <w:r w:rsidRPr="007A7D7B">
                    <w:rPr>
                      <w:bCs/>
                      <w:lang w:val="ro-RO"/>
                    </w:rPr>
                    <w:t>contribuţii</w:t>
                  </w:r>
                  <w:proofErr w:type="spellEnd"/>
                  <w:r w:rsidRPr="007A7D7B">
                    <w:rPr>
                      <w:bCs/>
                      <w:lang w:val="ro-RO"/>
                    </w:rPr>
                    <w:t xml:space="preserve"> de asigurări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89B0B2"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4C8F15"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19DA1E"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D1814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5A16A1"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022E60D" w14:textId="77777777" w:rsidR="007A7D7B" w:rsidRPr="007A7D7B" w:rsidRDefault="007A7D7B" w:rsidP="00E9664D">
                  <w:pPr>
                    <w:jc w:val="right"/>
                    <w:rPr>
                      <w:bCs/>
                      <w:lang w:val="ro-RO"/>
                    </w:rPr>
                  </w:pPr>
                </w:p>
              </w:tc>
            </w:tr>
            <w:tr w:rsidR="007A7D7B" w:rsidRPr="007A7D7B" w14:paraId="0CB00D3C" w14:textId="77777777" w:rsidTr="00805BDB">
              <w:trPr>
                <w:gridAfter w:val="1"/>
                <w:wAfter w:w="8" w:type="dxa"/>
                <w:trHeight w:val="157"/>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122E9D82" w14:textId="77777777" w:rsidR="007A7D7B" w:rsidRPr="007A7D7B" w:rsidRDefault="007A7D7B" w:rsidP="00E9664D">
                  <w:pPr>
                    <w:rPr>
                      <w:bCs/>
                      <w:lang w:val="ro-RO"/>
                    </w:rPr>
                  </w:pPr>
                  <w:r w:rsidRPr="007A7D7B">
                    <w:rPr>
                      <w:bCs/>
                      <w:lang w:val="ro-RO"/>
                    </w:rPr>
                    <w:t xml:space="preserve">    d) alte tipuri de venituri - </w:t>
                  </w:r>
                  <w:r w:rsidRPr="007A7D7B">
                    <w:rPr>
                      <w:bCs/>
                      <w:iCs/>
                      <w:lang w:val="ro-RO"/>
                    </w:rPr>
                    <w:t>redevenț</w:t>
                  </w:r>
                  <w:r w:rsidRPr="007A7D7B">
                    <w:rPr>
                      <w:bCs/>
                      <w:lang w:val="ro-RO"/>
                    </w:rPr>
                    <w:t>ă</w:t>
                  </w:r>
                </w:p>
                <w:p w14:paraId="215D5227" w14:textId="77777777" w:rsidR="007A7D7B" w:rsidRPr="007A7D7B" w:rsidRDefault="007A7D7B" w:rsidP="00E9664D">
                  <w:pPr>
                    <w:rPr>
                      <w:bCs/>
                      <w:lang w:val="ro-RO"/>
                    </w:rPr>
                  </w:pPr>
                  <w:r w:rsidRPr="007A7D7B">
                    <w:rPr>
                      <w:bCs/>
                      <w:lang w:val="ro-RO"/>
                    </w:rPr>
                    <w:t xml:space="preserve">    (Se va </w:t>
                  </w:r>
                  <w:proofErr w:type="spellStart"/>
                  <w:r w:rsidRPr="007A7D7B">
                    <w:rPr>
                      <w:bCs/>
                      <w:lang w:val="ro-RO"/>
                    </w:rPr>
                    <w:t>menţiona</w:t>
                  </w:r>
                  <w:proofErr w:type="spellEnd"/>
                  <w:r w:rsidRPr="007A7D7B">
                    <w:rPr>
                      <w:bCs/>
                      <w:lang w:val="ro-RO"/>
                    </w:rPr>
                    <w:t xml:space="preserve"> natura acestora.)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25786A" w14:textId="15A2577D" w:rsidR="007A7D7B" w:rsidRPr="007A7D7B" w:rsidRDefault="007A7D7B" w:rsidP="00E9664D">
                  <w:pPr>
                    <w:rPr>
                      <w:bCs/>
                      <w:lang w:val="ro-RO"/>
                    </w:rPr>
                  </w:pPr>
                  <w:r w:rsidRPr="007A7D7B">
                    <w:rPr>
                      <w:bCs/>
                      <w:lang w:val="ro-RO"/>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89309A"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1A89B1"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12DF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EDD87E"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197193D" w14:textId="77777777" w:rsidR="007A7D7B" w:rsidRPr="007A7D7B" w:rsidRDefault="007A7D7B" w:rsidP="00E9664D">
                  <w:pPr>
                    <w:jc w:val="right"/>
                    <w:rPr>
                      <w:bCs/>
                      <w:lang w:val="ro-RO"/>
                    </w:rPr>
                  </w:pPr>
                </w:p>
              </w:tc>
            </w:tr>
            <w:tr w:rsidR="007A7D7B" w:rsidRPr="007A7D7B" w14:paraId="3FDD98FE"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58F862A1" w14:textId="77777777" w:rsidR="007A7D7B" w:rsidRPr="007A7D7B" w:rsidRDefault="007A7D7B" w:rsidP="00E9664D">
                  <w:pPr>
                    <w:rPr>
                      <w:bCs/>
                      <w:lang w:val="ro-RO"/>
                    </w:rPr>
                  </w:pPr>
                  <w:r w:rsidRPr="007A7D7B">
                    <w:rPr>
                      <w:bCs/>
                      <w:lang w:val="ro-RO"/>
                    </w:rPr>
                    <w:t xml:space="preserve">  4.2. Modificări ale cheltuielilor bugetare, plus/minus, din care: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EC9E4B"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817AFD"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580A49"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8F6C36"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37175A"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687B954" w14:textId="77777777" w:rsidR="007A7D7B" w:rsidRPr="007A7D7B" w:rsidRDefault="007A7D7B" w:rsidP="00E9664D">
                  <w:pPr>
                    <w:jc w:val="right"/>
                    <w:rPr>
                      <w:bCs/>
                      <w:lang w:val="ro-RO"/>
                    </w:rPr>
                  </w:pPr>
                </w:p>
              </w:tc>
            </w:tr>
            <w:tr w:rsidR="007A7D7B" w:rsidRPr="007A7D7B" w14:paraId="69B76E03" w14:textId="77777777" w:rsidTr="00805BDB">
              <w:trPr>
                <w:gridAfter w:val="1"/>
                <w:wAfter w:w="8" w:type="dxa"/>
                <w:trHeight w:val="210"/>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3431B12" w14:textId="77777777" w:rsidR="007A7D7B" w:rsidRPr="007A7D7B" w:rsidRDefault="007A7D7B" w:rsidP="00E9664D">
                  <w:pPr>
                    <w:ind w:left="120"/>
                    <w:rPr>
                      <w:bCs/>
                      <w:lang w:val="ro-RO"/>
                    </w:rPr>
                  </w:pPr>
                  <w:r w:rsidRPr="007A7D7B">
                    <w:rPr>
                      <w:bCs/>
                      <w:lang w:val="ro-RO"/>
                    </w:rPr>
                    <w:t xml:space="preserve">  a) buget de stat, din acesta: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072505D"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C81DCEC"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D051B1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EDBEB1"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6B944A6"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5C8B5E8F" w14:textId="77777777" w:rsidR="007A7D7B" w:rsidRPr="007A7D7B" w:rsidRDefault="007A7D7B" w:rsidP="00E9664D">
                  <w:pPr>
                    <w:jc w:val="right"/>
                    <w:rPr>
                      <w:bCs/>
                      <w:lang w:val="ro-RO"/>
                    </w:rPr>
                  </w:pPr>
                </w:p>
              </w:tc>
            </w:tr>
            <w:tr w:rsidR="007A7D7B" w:rsidRPr="007A7D7B" w14:paraId="1959F1EF" w14:textId="77777777" w:rsidTr="00805BDB">
              <w:trPr>
                <w:gridAfter w:val="1"/>
                <w:wAfter w:w="8" w:type="dxa"/>
                <w:trHeight w:val="321"/>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D044FAB" w14:textId="77777777" w:rsidR="007A7D7B" w:rsidRPr="007A7D7B" w:rsidRDefault="007A7D7B" w:rsidP="00E9664D">
                  <w:pPr>
                    <w:tabs>
                      <w:tab w:val="left" w:pos="747"/>
                    </w:tabs>
                    <w:rPr>
                      <w:bCs/>
                      <w:lang w:val="ro-RO"/>
                    </w:rPr>
                  </w:pPr>
                  <w:r w:rsidRPr="007A7D7B">
                    <w:rPr>
                      <w:bCs/>
                      <w:lang w:val="ro-RO"/>
                    </w:rPr>
                    <w:t xml:space="preserve">        (i) cheltuieli de personal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712025"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EB2128"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63BCB8"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4BB9B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21216F"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10C8BBF" w14:textId="77777777" w:rsidR="007A7D7B" w:rsidRPr="007A7D7B" w:rsidRDefault="007A7D7B" w:rsidP="00E9664D">
                  <w:pPr>
                    <w:jc w:val="right"/>
                    <w:rPr>
                      <w:bCs/>
                      <w:lang w:val="ro-RO"/>
                    </w:rPr>
                  </w:pPr>
                </w:p>
              </w:tc>
            </w:tr>
            <w:tr w:rsidR="007A7D7B" w:rsidRPr="007A7D7B" w14:paraId="794C3DA9" w14:textId="77777777" w:rsidTr="00805BDB">
              <w:trPr>
                <w:gridAfter w:val="1"/>
                <w:wAfter w:w="8" w:type="dxa"/>
                <w:trHeight w:val="321"/>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2AA3259B" w14:textId="77777777" w:rsidR="007A7D7B" w:rsidRPr="007A7D7B" w:rsidRDefault="007A7D7B" w:rsidP="00E9664D">
                  <w:pPr>
                    <w:tabs>
                      <w:tab w:val="left" w:pos="747"/>
                    </w:tabs>
                    <w:ind w:firstLine="512"/>
                    <w:rPr>
                      <w:bCs/>
                      <w:lang w:val="ro-RO"/>
                    </w:rPr>
                  </w:pPr>
                  <w:r w:rsidRPr="007A7D7B">
                    <w:rPr>
                      <w:bCs/>
                      <w:lang w:val="ro-RO"/>
                    </w:rPr>
                    <w:t>(ii) bunuri si servicii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E68599"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A013B3"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20A10D"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CF6690"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5917"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7CC725C" w14:textId="77777777" w:rsidR="007A7D7B" w:rsidRPr="007A7D7B" w:rsidRDefault="007A7D7B" w:rsidP="00E9664D">
                  <w:pPr>
                    <w:jc w:val="right"/>
                    <w:rPr>
                      <w:bCs/>
                      <w:lang w:val="ro-RO"/>
                    </w:rPr>
                  </w:pPr>
                </w:p>
              </w:tc>
            </w:tr>
            <w:tr w:rsidR="007A7D7B" w:rsidRPr="007A7D7B" w14:paraId="12979EFC"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CE6818A" w14:textId="77777777" w:rsidR="007A7D7B" w:rsidRPr="007A7D7B" w:rsidRDefault="007A7D7B" w:rsidP="00E9664D">
                  <w:pPr>
                    <w:rPr>
                      <w:bCs/>
                      <w:lang w:val="ro-RO"/>
                    </w:rPr>
                  </w:pPr>
                  <w:r w:rsidRPr="007A7D7B">
                    <w:rPr>
                      <w:bCs/>
                      <w:lang w:val="ro-RO"/>
                    </w:rPr>
                    <w:t xml:space="preserve">    b) bugete locale: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0482CB"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A82BB"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1629BB"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4BD70E"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86121E"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5720787" w14:textId="77777777" w:rsidR="007A7D7B" w:rsidRPr="007A7D7B" w:rsidRDefault="007A7D7B" w:rsidP="00E9664D">
                  <w:pPr>
                    <w:jc w:val="right"/>
                    <w:rPr>
                      <w:bCs/>
                      <w:lang w:val="ro-RO"/>
                    </w:rPr>
                  </w:pPr>
                </w:p>
              </w:tc>
            </w:tr>
            <w:tr w:rsidR="007A7D7B" w:rsidRPr="007A7D7B" w14:paraId="5D843BFB"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5DBAF453" w14:textId="77777777" w:rsidR="007A7D7B" w:rsidRPr="007A7D7B" w:rsidRDefault="007A7D7B" w:rsidP="007A7D7B">
                  <w:pPr>
                    <w:numPr>
                      <w:ilvl w:val="0"/>
                      <w:numId w:val="28"/>
                    </w:numPr>
                    <w:rPr>
                      <w:bCs/>
                      <w:lang w:val="ro-RO"/>
                    </w:rPr>
                  </w:pPr>
                  <w:r w:rsidRPr="007A7D7B">
                    <w:rPr>
                      <w:bCs/>
                      <w:lang w:val="ro-RO"/>
                    </w:rPr>
                    <w:t>cheltuieli de personal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3BF8A1"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BE2894"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27ABC8"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F5CE5B"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FA4377"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8FAEDDE" w14:textId="77777777" w:rsidR="007A7D7B" w:rsidRPr="007A7D7B" w:rsidRDefault="007A7D7B" w:rsidP="00E9664D">
                  <w:pPr>
                    <w:jc w:val="right"/>
                    <w:rPr>
                      <w:bCs/>
                      <w:lang w:val="ro-RO"/>
                    </w:rPr>
                  </w:pPr>
                </w:p>
              </w:tc>
            </w:tr>
            <w:tr w:rsidR="007A7D7B" w:rsidRPr="007A7D7B" w14:paraId="7040DDC6"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4FE0053" w14:textId="77777777" w:rsidR="007A7D7B" w:rsidRPr="007A7D7B" w:rsidRDefault="007A7D7B" w:rsidP="007A7D7B">
                  <w:pPr>
                    <w:numPr>
                      <w:ilvl w:val="0"/>
                      <w:numId w:val="28"/>
                    </w:numPr>
                    <w:rPr>
                      <w:bCs/>
                      <w:lang w:val="ro-RO"/>
                    </w:rPr>
                  </w:pPr>
                  <w:r w:rsidRPr="007A7D7B">
                    <w:rPr>
                      <w:bCs/>
                      <w:lang w:val="ro-RO"/>
                    </w:rPr>
                    <w:t>bunuri si servicii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5F3876"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05C535"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6B60E4"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0CE1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A00CB9"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E14D51F" w14:textId="77777777" w:rsidR="007A7D7B" w:rsidRPr="007A7D7B" w:rsidRDefault="007A7D7B" w:rsidP="00E9664D">
                  <w:pPr>
                    <w:jc w:val="right"/>
                    <w:rPr>
                      <w:bCs/>
                      <w:lang w:val="ro-RO"/>
                    </w:rPr>
                  </w:pPr>
                </w:p>
              </w:tc>
            </w:tr>
            <w:tr w:rsidR="007A7D7B" w:rsidRPr="007A7D7B" w14:paraId="5C85CD58"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0388FB21" w14:textId="77777777" w:rsidR="007A7D7B" w:rsidRPr="007A7D7B" w:rsidRDefault="007A7D7B" w:rsidP="00E9664D">
                  <w:pPr>
                    <w:rPr>
                      <w:bCs/>
                      <w:lang w:val="ro-RO"/>
                    </w:rPr>
                  </w:pPr>
                  <w:r w:rsidRPr="007A7D7B">
                    <w:rPr>
                      <w:bCs/>
                      <w:lang w:val="ro-RO"/>
                    </w:rPr>
                    <w:t xml:space="preserve">    c) bugetul asigurărilor sociale de stat: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16E0C1"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B915B1"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820F61"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94BB2E"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DD9D5E"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CEAF354" w14:textId="77777777" w:rsidR="007A7D7B" w:rsidRPr="007A7D7B" w:rsidRDefault="007A7D7B" w:rsidP="00E9664D">
                  <w:pPr>
                    <w:jc w:val="right"/>
                    <w:rPr>
                      <w:bCs/>
                      <w:lang w:val="ro-RO"/>
                    </w:rPr>
                  </w:pPr>
                </w:p>
              </w:tc>
            </w:tr>
            <w:tr w:rsidR="007A7D7B" w:rsidRPr="007A7D7B" w14:paraId="41DD1F77"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142399E4" w14:textId="77777777" w:rsidR="007A7D7B" w:rsidRPr="007A7D7B" w:rsidRDefault="007A7D7B" w:rsidP="007A7D7B">
                  <w:pPr>
                    <w:numPr>
                      <w:ilvl w:val="0"/>
                      <w:numId w:val="29"/>
                    </w:numPr>
                    <w:tabs>
                      <w:tab w:val="left" w:pos="654"/>
                    </w:tabs>
                    <w:ind w:left="795" w:hanging="425"/>
                    <w:rPr>
                      <w:bCs/>
                      <w:lang w:val="ro-RO"/>
                    </w:rPr>
                  </w:pPr>
                  <w:r w:rsidRPr="007A7D7B">
                    <w:rPr>
                      <w:bCs/>
                      <w:lang w:val="ro-RO"/>
                    </w:rPr>
                    <w:t>cheltuieli de personal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D3690A"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717ABA"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7E0018"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D68057"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0691E7"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C180DFA" w14:textId="77777777" w:rsidR="007A7D7B" w:rsidRPr="007A7D7B" w:rsidRDefault="007A7D7B" w:rsidP="00E9664D">
                  <w:pPr>
                    <w:jc w:val="right"/>
                    <w:rPr>
                      <w:bCs/>
                      <w:lang w:val="ro-RO"/>
                    </w:rPr>
                  </w:pPr>
                </w:p>
              </w:tc>
            </w:tr>
            <w:tr w:rsidR="007A7D7B" w:rsidRPr="007A7D7B" w14:paraId="74B3C076"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5B0CE495" w14:textId="77777777" w:rsidR="007A7D7B" w:rsidRPr="007A7D7B" w:rsidRDefault="007A7D7B" w:rsidP="007A7D7B">
                  <w:pPr>
                    <w:numPr>
                      <w:ilvl w:val="0"/>
                      <w:numId w:val="29"/>
                    </w:numPr>
                    <w:ind w:left="1788" w:hanging="1454"/>
                    <w:rPr>
                      <w:bCs/>
                      <w:lang w:val="ro-RO"/>
                    </w:rPr>
                  </w:pPr>
                  <w:r w:rsidRPr="007A7D7B">
                    <w:rPr>
                      <w:bCs/>
                      <w:lang w:val="ro-RO"/>
                    </w:rPr>
                    <w:t>bunuri si servicii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AA057E"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A172B0"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B9A174"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3BEF8"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723C82"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588305A" w14:textId="77777777" w:rsidR="007A7D7B" w:rsidRPr="007A7D7B" w:rsidRDefault="007A7D7B" w:rsidP="00E9664D">
                  <w:pPr>
                    <w:jc w:val="right"/>
                    <w:rPr>
                      <w:bCs/>
                      <w:lang w:val="ro-RO"/>
                    </w:rPr>
                  </w:pPr>
                </w:p>
              </w:tc>
            </w:tr>
            <w:tr w:rsidR="007A7D7B" w:rsidRPr="007A7D7B" w14:paraId="50873864"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2EEB71EB" w14:textId="77777777" w:rsidR="007A7D7B" w:rsidRPr="007A7D7B" w:rsidRDefault="007A7D7B" w:rsidP="00E9664D">
                  <w:pPr>
                    <w:ind w:left="1788" w:hanging="1560"/>
                    <w:rPr>
                      <w:bCs/>
                      <w:lang w:val="ro-RO"/>
                    </w:rPr>
                  </w:pPr>
                  <w:r w:rsidRPr="007A7D7B">
                    <w:rPr>
                      <w:bCs/>
                      <w:lang w:val="ro-RO"/>
                    </w:rPr>
                    <w:t>d) alte tipuri de cheltuieli</w:t>
                  </w:r>
                </w:p>
                <w:p w14:paraId="197E1260" w14:textId="77777777" w:rsidR="007A7D7B" w:rsidRPr="007A7D7B" w:rsidRDefault="007A7D7B" w:rsidP="00E9664D">
                  <w:pPr>
                    <w:ind w:left="1788" w:hanging="1560"/>
                    <w:rPr>
                      <w:bCs/>
                      <w:lang w:val="ro-RO"/>
                    </w:rPr>
                  </w:pPr>
                  <w:r w:rsidRPr="007A7D7B">
                    <w:rPr>
                      <w:bCs/>
                      <w:lang w:val="ro-RO"/>
                    </w:rPr>
                    <w:t xml:space="preserve">(Se va </w:t>
                  </w:r>
                  <w:proofErr w:type="spellStart"/>
                  <w:r w:rsidRPr="007A7D7B">
                    <w:rPr>
                      <w:bCs/>
                      <w:lang w:val="ro-RO"/>
                    </w:rPr>
                    <w:t>menţiona</w:t>
                  </w:r>
                  <w:proofErr w:type="spellEnd"/>
                  <w:r w:rsidRPr="007A7D7B">
                    <w:rPr>
                      <w:bCs/>
                      <w:lang w:val="ro-RO"/>
                    </w:rPr>
                    <w:t xml:space="preserve"> natura acestora.)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93A3BA"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FCC88B"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A6829E"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EDC6A3"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EA0986"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17C16E5" w14:textId="77777777" w:rsidR="007A7D7B" w:rsidRPr="007A7D7B" w:rsidRDefault="007A7D7B" w:rsidP="00E9664D">
                  <w:pPr>
                    <w:jc w:val="right"/>
                    <w:rPr>
                      <w:bCs/>
                      <w:lang w:val="ro-RO"/>
                    </w:rPr>
                  </w:pPr>
                </w:p>
              </w:tc>
            </w:tr>
            <w:tr w:rsidR="007A7D7B" w:rsidRPr="007A7D7B" w14:paraId="4FD367D8"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6E8B2F10" w14:textId="77777777" w:rsidR="007A7D7B" w:rsidRPr="007A7D7B" w:rsidRDefault="007A7D7B" w:rsidP="00E9664D">
                  <w:pPr>
                    <w:rPr>
                      <w:bCs/>
                      <w:lang w:val="ro-RO"/>
                    </w:rPr>
                  </w:pPr>
                  <w:r w:rsidRPr="007A7D7B">
                    <w:rPr>
                      <w:bCs/>
                      <w:lang w:val="ro-RO"/>
                    </w:rPr>
                    <w:t xml:space="preserve">   4.3.  Impact financiar, plus/minus, din care: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9977BD"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938279" w14:textId="77777777" w:rsidR="007A7D7B" w:rsidRPr="007A7D7B" w:rsidRDefault="007A7D7B" w:rsidP="00E9664D">
                  <w:pPr>
                    <w:rPr>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013CB0"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8218E1"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017424" w14:textId="77777777" w:rsidR="007A7D7B" w:rsidRPr="007A7D7B" w:rsidRDefault="007A7D7B" w:rsidP="00E9664D">
                  <w:pPr>
                    <w:rPr>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2D13B0F" w14:textId="77777777" w:rsidR="007A7D7B" w:rsidRPr="007A7D7B" w:rsidRDefault="007A7D7B" w:rsidP="00E9664D">
                  <w:pPr>
                    <w:rPr>
                      <w:lang w:val="ro-RO"/>
                    </w:rPr>
                  </w:pPr>
                </w:p>
              </w:tc>
            </w:tr>
            <w:tr w:rsidR="007A7D7B" w:rsidRPr="007A7D7B" w14:paraId="3FAB3C94" w14:textId="77777777" w:rsidTr="00805BDB">
              <w:trPr>
                <w:gridAfter w:val="1"/>
                <w:wAfter w:w="8" w:type="dxa"/>
                <w:trHeight w:val="390"/>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C43A88D" w14:textId="77777777" w:rsidR="007A7D7B" w:rsidRPr="007A7D7B" w:rsidRDefault="007A7D7B" w:rsidP="007A7D7B">
                  <w:pPr>
                    <w:numPr>
                      <w:ilvl w:val="0"/>
                      <w:numId w:val="27"/>
                    </w:numPr>
                    <w:rPr>
                      <w:bCs/>
                      <w:lang w:val="ro-RO"/>
                    </w:rPr>
                  </w:pPr>
                  <w:r w:rsidRPr="007A7D7B">
                    <w:rPr>
                      <w:bCs/>
                      <w:lang w:val="ro-RO"/>
                    </w:rPr>
                    <w:t xml:space="preserve">buget de stat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A61651"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B30D3F" w14:textId="77777777" w:rsidR="007A7D7B" w:rsidRPr="007A7D7B" w:rsidRDefault="007A7D7B" w:rsidP="00E9664D">
                  <w:pPr>
                    <w:rPr>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101256"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9C4F07" w14:textId="77777777" w:rsidR="007A7D7B" w:rsidRPr="007A7D7B" w:rsidRDefault="007A7D7B" w:rsidP="00E9664D">
                  <w:pPr>
                    <w:rPr>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907497" w14:textId="77777777" w:rsidR="007A7D7B" w:rsidRPr="007A7D7B" w:rsidRDefault="007A7D7B" w:rsidP="00E9664D">
                  <w:pPr>
                    <w:rPr>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6D5B5C6" w14:textId="77777777" w:rsidR="007A7D7B" w:rsidRPr="007A7D7B" w:rsidRDefault="007A7D7B" w:rsidP="00E9664D">
                  <w:pPr>
                    <w:rPr>
                      <w:lang w:val="ro-RO"/>
                    </w:rPr>
                  </w:pPr>
                </w:p>
              </w:tc>
            </w:tr>
            <w:tr w:rsidR="007A7D7B" w:rsidRPr="007A7D7B" w14:paraId="009B69D1" w14:textId="77777777" w:rsidTr="00805BDB">
              <w:trPr>
                <w:gridAfter w:val="1"/>
                <w:wAfter w:w="8" w:type="dxa"/>
                <w:trHeight w:val="165"/>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273FD6D4" w14:textId="77777777" w:rsidR="007A7D7B" w:rsidRPr="007A7D7B" w:rsidRDefault="007A7D7B" w:rsidP="007A7D7B">
                  <w:pPr>
                    <w:numPr>
                      <w:ilvl w:val="0"/>
                      <w:numId w:val="27"/>
                    </w:numPr>
                    <w:rPr>
                      <w:bCs/>
                      <w:lang w:val="ro-RO"/>
                    </w:rPr>
                  </w:pPr>
                  <w:r w:rsidRPr="007A7D7B">
                    <w:rPr>
                      <w:bCs/>
                      <w:lang w:val="ro-RO"/>
                    </w:rPr>
                    <w:t>bugetele locale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7214D6B" w14:textId="77777777" w:rsidR="007A7D7B" w:rsidRPr="007A7D7B" w:rsidRDefault="007A7D7B" w:rsidP="00E9664D">
                  <w:pPr>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A3E9DF" w14:textId="77777777" w:rsidR="007A7D7B" w:rsidRPr="007A7D7B" w:rsidRDefault="007A7D7B" w:rsidP="00E9664D">
                  <w:pPr>
                    <w:jc w:val="right"/>
                    <w:rPr>
                      <w:bCs/>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4FEE59"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779A1C" w14:textId="77777777" w:rsidR="007A7D7B" w:rsidRPr="007A7D7B" w:rsidRDefault="007A7D7B" w:rsidP="00E9664D">
                  <w:pPr>
                    <w:jc w:val="right"/>
                    <w:rPr>
                      <w:bCs/>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5FEC7A" w14:textId="77777777" w:rsidR="007A7D7B" w:rsidRPr="007A7D7B" w:rsidRDefault="007A7D7B" w:rsidP="00E9664D">
                  <w:pPr>
                    <w:jc w:val="right"/>
                    <w:rPr>
                      <w:bCs/>
                      <w:lang w:val="ro-RO"/>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CFFE905" w14:textId="77777777" w:rsidR="007A7D7B" w:rsidRPr="007A7D7B" w:rsidRDefault="007A7D7B" w:rsidP="00E9664D">
                  <w:pPr>
                    <w:jc w:val="right"/>
                    <w:rPr>
                      <w:bCs/>
                      <w:lang w:val="ro-RO"/>
                    </w:rPr>
                  </w:pPr>
                </w:p>
              </w:tc>
            </w:tr>
            <w:tr w:rsidR="00A46DE1" w:rsidRPr="007A7D7B" w14:paraId="24816B7B"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65373A49" w14:textId="77777777" w:rsidR="00A46DE1" w:rsidRPr="007A7D7B" w:rsidRDefault="00A46DE1" w:rsidP="00E9664D">
                  <w:pPr>
                    <w:rPr>
                      <w:bCs/>
                      <w:lang w:val="ro-RO"/>
                    </w:rPr>
                  </w:pPr>
                  <w:r w:rsidRPr="007A7D7B">
                    <w:rPr>
                      <w:bCs/>
                      <w:lang w:val="ro-RO"/>
                    </w:rPr>
                    <w:t xml:space="preserve">   4.4. Propuneri pentru acoperirea </w:t>
                  </w:r>
                  <w:proofErr w:type="spellStart"/>
                  <w:r w:rsidRPr="007A7D7B">
                    <w:rPr>
                      <w:bCs/>
                      <w:lang w:val="ro-RO"/>
                    </w:rPr>
                    <w:t>creşterii</w:t>
                  </w:r>
                  <w:proofErr w:type="spellEnd"/>
                  <w:r w:rsidRPr="007A7D7B">
                    <w:rPr>
                      <w:bCs/>
                      <w:lang w:val="ro-RO"/>
                    </w:rPr>
                    <w:t xml:space="preserve"> cheltuielilor  bugetare </w:t>
                  </w:r>
                </w:p>
              </w:tc>
              <w:tc>
                <w:tcPr>
                  <w:tcW w:w="6470" w:type="dxa"/>
                  <w:gridSpan w:val="6"/>
                  <w:tcBorders>
                    <w:top w:val="single" w:sz="4" w:space="0" w:color="auto"/>
                    <w:left w:val="single" w:sz="4" w:space="0" w:color="auto"/>
                    <w:bottom w:val="single" w:sz="4" w:space="0" w:color="auto"/>
                    <w:right w:val="single" w:sz="4" w:space="0" w:color="auto"/>
                  </w:tcBorders>
                  <w:shd w:val="clear" w:color="auto" w:fill="auto"/>
                </w:tcPr>
                <w:p w14:paraId="61376097" w14:textId="3152D5AD" w:rsidR="00A46DE1" w:rsidRPr="007A7D7B" w:rsidRDefault="00A46DE1" w:rsidP="00A46DE1">
                  <w:pPr>
                    <w:rPr>
                      <w:bCs/>
                      <w:lang w:val="ro-RO"/>
                    </w:rPr>
                  </w:pPr>
                </w:p>
              </w:tc>
            </w:tr>
            <w:tr w:rsidR="007A7D7B" w:rsidRPr="007A7D7B" w14:paraId="6F161115" w14:textId="77777777" w:rsidTr="00805BDB">
              <w:trPr>
                <w:gridAfter w:val="1"/>
                <w:wAfter w:w="8" w:type="dxa"/>
                <w:trHeight w:val="531"/>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1405135F" w14:textId="77777777" w:rsidR="007A7D7B" w:rsidRPr="007A7D7B" w:rsidRDefault="007A7D7B" w:rsidP="00E9664D">
                  <w:pPr>
                    <w:rPr>
                      <w:bCs/>
                      <w:lang w:val="ro-RO"/>
                    </w:rPr>
                  </w:pPr>
                  <w:r w:rsidRPr="007A7D7B">
                    <w:rPr>
                      <w:bCs/>
                      <w:lang w:val="ro-RO"/>
                    </w:rPr>
                    <w:t xml:space="preserve">   4.5. Propuneri pentru a compensa reducerea  veniturilor bugetare</w:t>
                  </w:r>
                </w:p>
              </w:tc>
              <w:tc>
                <w:tcPr>
                  <w:tcW w:w="810" w:type="dxa"/>
                  <w:tcBorders>
                    <w:top w:val="single" w:sz="4" w:space="0" w:color="auto"/>
                    <w:left w:val="single" w:sz="4" w:space="0" w:color="auto"/>
                    <w:bottom w:val="single" w:sz="4" w:space="0" w:color="auto"/>
                  </w:tcBorders>
                  <w:shd w:val="clear" w:color="auto" w:fill="auto"/>
                </w:tcPr>
                <w:p w14:paraId="21C4D424" w14:textId="77777777" w:rsidR="007A7D7B" w:rsidRPr="007A7D7B" w:rsidRDefault="007A7D7B" w:rsidP="00E9664D">
                  <w:pPr>
                    <w:rPr>
                      <w:bCs/>
                      <w:lang w:val="ro-RO"/>
                    </w:rPr>
                  </w:pPr>
                </w:p>
              </w:tc>
              <w:tc>
                <w:tcPr>
                  <w:tcW w:w="1080" w:type="dxa"/>
                  <w:tcBorders>
                    <w:top w:val="single" w:sz="4" w:space="0" w:color="auto"/>
                    <w:bottom w:val="single" w:sz="4" w:space="0" w:color="auto"/>
                  </w:tcBorders>
                  <w:shd w:val="clear" w:color="auto" w:fill="auto"/>
                </w:tcPr>
                <w:p w14:paraId="170B3E80" w14:textId="77777777" w:rsidR="007A7D7B" w:rsidRPr="007A7D7B" w:rsidRDefault="007A7D7B" w:rsidP="00E9664D">
                  <w:pPr>
                    <w:jc w:val="right"/>
                    <w:rPr>
                      <w:bCs/>
                      <w:lang w:val="ro-RO"/>
                    </w:rPr>
                  </w:pPr>
                </w:p>
              </w:tc>
              <w:tc>
                <w:tcPr>
                  <w:tcW w:w="1170" w:type="dxa"/>
                  <w:tcBorders>
                    <w:top w:val="single" w:sz="4" w:space="0" w:color="auto"/>
                    <w:bottom w:val="single" w:sz="4" w:space="0" w:color="auto"/>
                  </w:tcBorders>
                  <w:shd w:val="clear" w:color="auto" w:fill="auto"/>
                </w:tcPr>
                <w:p w14:paraId="25696AAD" w14:textId="77777777" w:rsidR="007A7D7B" w:rsidRPr="007A7D7B" w:rsidRDefault="007A7D7B" w:rsidP="00E9664D">
                  <w:pPr>
                    <w:jc w:val="right"/>
                    <w:rPr>
                      <w:bCs/>
                      <w:lang w:val="ro-RO"/>
                    </w:rPr>
                  </w:pPr>
                </w:p>
              </w:tc>
              <w:tc>
                <w:tcPr>
                  <w:tcW w:w="1080" w:type="dxa"/>
                  <w:tcBorders>
                    <w:top w:val="single" w:sz="4" w:space="0" w:color="auto"/>
                    <w:bottom w:val="single" w:sz="4" w:space="0" w:color="auto"/>
                  </w:tcBorders>
                  <w:shd w:val="clear" w:color="auto" w:fill="auto"/>
                </w:tcPr>
                <w:p w14:paraId="582E2ED6" w14:textId="77777777" w:rsidR="007A7D7B" w:rsidRPr="007A7D7B" w:rsidRDefault="007A7D7B" w:rsidP="00E9664D">
                  <w:pPr>
                    <w:jc w:val="right"/>
                    <w:rPr>
                      <w:bCs/>
                      <w:lang w:val="ro-RO"/>
                    </w:rPr>
                  </w:pPr>
                </w:p>
              </w:tc>
              <w:tc>
                <w:tcPr>
                  <w:tcW w:w="1080" w:type="dxa"/>
                  <w:tcBorders>
                    <w:top w:val="single" w:sz="4" w:space="0" w:color="auto"/>
                    <w:bottom w:val="single" w:sz="4" w:space="0" w:color="auto"/>
                  </w:tcBorders>
                  <w:shd w:val="clear" w:color="auto" w:fill="auto"/>
                </w:tcPr>
                <w:p w14:paraId="7EC7A639" w14:textId="77777777" w:rsidR="007A7D7B" w:rsidRPr="007A7D7B" w:rsidRDefault="007A7D7B" w:rsidP="00E9664D">
                  <w:pPr>
                    <w:jc w:val="right"/>
                    <w:rPr>
                      <w:bCs/>
                      <w:lang w:val="ro-RO"/>
                    </w:rPr>
                  </w:pPr>
                </w:p>
              </w:tc>
              <w:tc>
                <w:tcPr>
                  <w:tcW w:w="1250" w:type="dxa"/>
                  <w:tcBorders>
                    <w:top w:val="single" w:sz="4" w:space="0" w:color="auto"/>
                    <w:bottom w:val="single" w:sz="4" w:space="0" w:color="auto"/>
                    <w:right w:val="single" w:sz="4" w:space="0" w:color="auto"/>
                  </w:tcBorders>
                  <w:shd w:val="clear" w:color="auto" w:fill="auto"/>
                </w:tcPr>
                <w:p w14:paraId="4C40DAC8" w14:textId="77777777" w:rsidR="007A7D7B" w:rsidRPr="007A7D7B" w:rsidRDefault="007A7D7B" w:rsidP="00E9664D">
                  <w:pPr>
                    <w:jc w:val="right"/>
                    <w:rPr>
                      <w:bCs/>
                      <w:lang w:val="ro-RO"/>
                    </w:rPr>
                  </w:pPr>
                </w:p>
              </w:tc>
            </w:tr>
            <w:tr w:rsidR="007A7D7B" w:rsidRPr="007A7D7B" w14:paraId="1A973D28"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C9A3815" w14:textId="77777777" w:rsidR="007A7D7B" w:rsidRPr="007A7D7B" w:rsidRDefault="007A7D7B" w:rsidP="00E9664D">
                  <w:pPr>
                    <w:rPr>
                      <w:bCs/>
                      <w:lang w:val="ro-RO"/>
                    </w:rPr>
                  </w:pPr>
                  <w:r w:rsidRPr="007A7D7B">
                    <w:rPr>
                      <w:bCs/>
                      <w:lang w:val="ro-RO"/>
                    </w:rPr>
                    <w:t xml:space="preserve">   4.6. Calcule detaliate privind fundamentarea  modificărilor veniturilor </w:t>
                  </w:r>
                  <w:proofErr w:type="spellStart"/>
                  <w:r w:rsidRPr="007A7D7B">
                    <w:rPr>
                      <w:bCs/>
                      <w:lang w:val="ro-RO"/>
                    </w:rPr>
                    <w:t>şi</w:t>
                  </w:r>
                  <w:proofErr w:type="spellEnd"/>
                  <w:r w:rsidRPr="007A7D7B">
                    <w:rPr>
                      <w:bCs/>
                      <w:lang w:val="ro-RO"/>
                    </w:rPr>
                    <w:t xml:space="preserve">/sau cheltuielilor bugetare </w:t>
                  </w:r>
                </w:p>
              </w:tc>
              <w:tc>
                <w:tcPr>
                  <w:tcW w:w="6470" w:type="dxa"/>
                  <w:gridSpan w:val="6"/>
                  <w:tcBorders>
                    <w:top w:val="single" w:sz="4" w:space="0" w:color="auto"/>
                    <w:left w:val="single" w:sz="4" w:space="0" w:color="auto"/>
                    <w:bottom w:val="single" w:sz="4" w:space="0" w:color="auto"/>
                    <w:right w:val="single" w:sz="4" w:space="0" w:color="auto"/>
                  </w:tcBorders>
                  <w:shd w:val="clear" w:color="auto" w:fill="auto"/>
                </w:tcPr>
                <w:p w14:paraId="03665560" w14:textId="77777777" w:rsidR="007A7D7B" w:rsidRPr="007A7D7B" w:rsidRDefault="007A7D7B" w:rsidP="00E9664D">
                  <w:pPr>
                    <w:rPr>
                      <w:bCs/>
                      <w:lang w:val="ro-RO"/>
                    </w:rPr>
                  </w:pPr>
                </w:p>
                <w:p w14:paraId="07E5EBE4" w14:textId="77777777" w:rsidR="007A7D7B" w:rsidRPr="007A7D7B" w:rsidRDefault="007A7D7B" w:rsidP="00E9664D">
                  <w:pPr>
                    <w:rPr>
                      <w:bCs/>
                      <w:lang w:val="ro-RO"/>
                    </w:rPr>
                  </w:pPr>
                </w:p>
              </w:tc>
            </w:tr>
            <w:tr w:rsidR="007A7D7B" w:rsidRPr="007A7D7B" w14:paraId="749C7866" w14:textId="77777777" w:rsidTr="00805BDB">
              <w:trPr>
                <w:gridAfter w:val="1"/>
                <w:wAfter w:w="8" w:type="dxa"/>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711EB44" w14:textId="77777777" w:rsidR="007A7D7B" w:rsidRPr="007A7D7B" w:rsidRDefault="007A7D7B" w:rsidP="00E9664D">
                  <w:pPr>
                    <w:rPr>
                      <w:bCs/>
                      <w:lang w:val="ro-RO"/>
                    </w:rPr>
                  </w:pPr>
                  <w:r w:rsidRPr="007A7D7B">
                    <w:rPr>
                      <w:bCs/>
                      <w:lang w:val="ro-RO"/>
                    </w:rPr>
                    <w:t xml:space="preserve">  4.7. Prezentarea, in cazul proiectelor de acte normative a căror adoptare atrage majorarea cheltuielilor bugetare, a următoarelor documente:</w:t>
                  </w:r>
                </w:p>
                <w:p w14:paraId="457B7156" w14:textId="77777777" w:rsidR="007A7D7B" w:rsidRPr="007A7D7B" w:rsidRDefault="007A7D7B" w:rsidP="00E9664D">
                  <w:pPr>
                    <w:rPr>
                      <w:bCs/>
                      <w:lang w:val="ro-RO"/>
                    </w:rPr>
                  </w:pPr>
                  <w:r w:rsidRPr="007A7D7B">
                    <w:rPr>
                      <w:bCs/>
                      <w:lang w:val="ro-RO"/>
                    </w:rPr>
                    <w:t xml:space="preserve">a) </w:t>
                  </w:r>
                  <w:proofErr w:type="spellStart"/>
                  <w:r w:rsidRPr="007A7D7B">
                    <w:rPr>
                      <w:bCs/>
                      <w:lang w:val="ro-RO"/>
                    </w:rPr>
                    <w:t>fişa</w:t>
                  </w:r>
                  <w:proofErr w:type="spellEnd"/>
                  <w:r w:rsidRPr="007A7D7B">
                    <w:rPr>
                      <w:bCs/>
                      <w:lang w:val="ro-RO"/>
                    </w:rPr>
                    <w:t xml:space="preserve"> financiară prevăzută la art. 15 din Legea nr. </w:t>
                  </w:r>
                  <w:hyperlink r:id="rId11" w:tooltip="privind finantele publice (act publicat in M.Of. 597 din 13-aug-2002)" w:history="1">
                    <w:r w:rsidRPr="007A7D7B">
                      <w:rPr>
                        <w:rStyle w:val="Hyperlink"/>
                        <w:bCs/>
                        <w:lang w:val="ro-RO"/>
                      </w:rPr>
                      <w:t>500/2002</w:t>
                    </w:r>
                  </w:hyperlink>
                  <w:r w:rsidRPr="007A7D7B">
                    <w:rPr>
                      <w:bCs/>
                      <w:lang w:val="ro-RO"/>
                    </w:rPr>
                    <w:t xml:space="preserve"> privind </w:t>
                  </w:r>
                  <w:proofErr w:type="spellStart"/>
                  <w:r w:rsidRPr="007A7D7B">
                    <w:rPr>
                      <w:bCs/>
                      <w:lang w:val="ro-RO"/>
                    </w:rPr>
                    <w:t>finanţele</w:t>
                  </w:r>
                  <w:proofErr w:type="spellEnd"/>
                  <w:r w:rsidRPr="007A7D7B">
                    <w:rPr>
                      <w:bCs/>
                      <w:lang w:val="ro-RO"/>
                    </w:rPr>
                    <w:t xml:space="preserve"> publice, cu modificările </w:t>
                  </w:r>
                  <w:proofErr w:type="spellStart"/>
                  <w:r w:rsidRPr="007A7D7B">
                    <w:rPr>
                      <w:bCs/>
                      <w:lang w:val="ro-RO"/>
                    </w:rPr>
                    <w:t>şi</w:t>
                  </w:r>
                  <w:proofErr w:type="spellEnd"/>
                  <w:r w:rsidRPr="007A7D7B">
                    <w:rPr>
                      <w:bCs/>
                      <w:lang w:val="ro-RO"/>
                    </w:rPr>
                    <w:t xml:space="preserve"> completările ulterioare, </w:t>
                  </w:r>
                  <w:proofErr w:type="spellStart"/>
                  <w:r w:rsidRPr="007A7D7B">
                    <w:rPr>
                      <w:bCs/>
                      <w:lang w:val="ro-RO"/>
                    </w:rPr>
                    <w:t>însoţită</w:t>
                  </w:r>
                  <w:proofErr w:type="spellEnd"/>
                  <w:r w:rsidRPr="007A7D7B">
                    <w:rPr>
                      <w:bCs/>
                      <w:lang w:val="ro-RO"/>
                    </w:rPr>
                    <w:t xml:space="preserve"> de ipotezele </w:t>
                  </w:r>
                  <w:proofErr w:type="spellStart"/>
                  <w:r w:rsidRPr="007A7D7B">
                    <w:rPr>
                      <w:bCs/>
                      <w:lang w:val="ro-RO"/>
                    </w:rPr>
                    <w:t>şi</w:t>
                  </w:r>
                  <w:proofErr w:type="spellEnd"/>
                  <w:r w:rsidRPr="007A7D7B">
                    <w:rPr>
                      <w:bCs/>
                      <w:lang w:val="ro-RO"/>
                    </w:rPr>
                    <w:t xml:space="preserve"> metodologia de calcul utilizată;</w:t>
                  </w:r>
                </w:p>
                <w:p w14:paraId="2BB7BDB8" w14:textId="77777777" w:rsidR="007A7D7B" w:rsidRPr="007A7D7B" w:rsidRDefault="007A7D7B" w:rsidP="00E9664D">
                  <w:pPr>
                    <w:rPr>
                      <w:bCs/>
                      <w:lang w:val="ro-RO"/>
                    </w:rPr>
                  </w:pPr>
                  <w:r w:rsidRPr="007A7D7B">
                    <w:rPr>
                      <w:bCs/>
                      <w:lang w:val="ro-RO"/>
                    </w:rPr>
                    <w:t xml:space="preserve">b) </w:t>
                  </w:r>
                  <w:proofErr w:type="spellStart"/>
                  <w:r w:rsidRPr="007A7D7B">
                    <w:rPr>
                      <w:bCs/>
                      <w:lang w:val="ro-RO"/>
                    </w:rPr>
                    <w:t>declaraţie</w:t>
                  </w:r>
                  <w:proofErr w:type="spellEnd"/>
                  <w:r w:rsidRPr="007A7D7B">
                    <w:rPr>
                      <w:bCs/>
                      <w:lang w:val="ro-RO"/>
                    </w:rPr>
                    <w:t xml:space="preserve"> conform căreia majorarea de cheltuială respectivă este compatibilă cu obiectivele </w:t>
                  </w:r>
                  <w:proofErr w:type="spellStart"/>
                  <w:r w:rsidRPr="007A7D7B">
                    <w:rPr>
                      <w:bCs/>
                      <w:lang w:val="ro-RO"/>
                    </w:rPr>
                    <w:t>şi</w:t>
                  </w:r>
                  <w:proofErr w:type="spellEnd"/>
                  <w:r w:rsidRPr="007A7D7B">
                    <w:rPr>
                      <w:bCs/>
                      <w:lang w:val="ro-RO"/>
                    </w:rPr>
                    <w:t xml:space="preserve"> </w:t>
                  </w:r>
                  <w:proofErr w:type="spellStart"/>
                  <w:r w:rsidRPr="007A7D7B">
                    <w:rPr>
                      <w:bCs/>
                      <w:lang w:val="ro-RO"/>
                    </w:rPr>
                    <w:t>priorităţile</w:t>
                  </w:r>
                  <w:proofErr w:type="spellEnd"/>
                  <w:r w:rsidRPr="007A7D7B">
                    <w:rPr>
                      <w:bCs/>
                      <w:lang w:val="ro-RO"/>
                    </w:rPr>
                    <w:t xml:space="preserve"> strategice specificate în strategia fiscal-bugetară, cu legea bugetară anuală </w:t>
                  </w:r>
                  <w:proofErr w:type="spellStart"/>
                  <w:r w:rsidRPr="007A7D7B">
                    <w:rPr>
                      <w:bCs/>
                      <w:lang w:val="ro-RO"/>
                    </w:rPr>
                    <w:t>şi</w:t>
                  </w:r>
                  <w:proofErr w:type="spellEnd"/>
                  <w:r w:rsidRPr="007A7D7B">
                    <w:rPr>
                      <w:bCs/>
                      <w:lang w:val="ro-RO"/>
                    </w:rPr>
                    <w:t xml:space="preserve"> cu plafoanele de cheltuieli prezentate în strategia fiscal-bugetară.</w:t>
                  </w:r>
                </w:p>
              </w:tc>
              <w:tc>
                <w:tcPr>
                  <w:tcW w:w="6470" w:type="dxa"/>
                  <w:gridSpan w:val="6"/>
                  <w:tcBorders>
                    <w:top w:val="single" w:sz="4" w:space="0" w:color="auto"/>
                    <w:left w:val="single" w:sz="4" w:space="0" w:color="auto"/>
                    <w:bottom w:val="single" w:sz="4" w:space="0" w:color="auto"/>
                    <w:right w:val="single" w:sz="4" w:space="0" w:color="auto"/>
                  </w:tcBorders>
                  <w:shd w:val="clear" w:color="auto" w:fill="auto"/>
                </w:tcPr>
                <w:p w14:paraId="42F60EA4" w14:textId="77777777" w:rsidR="007A7D7B" w:rsidRPr="007A7D7B" w:rsidRDefault="007A7D7B" w:rsidP="00E9664D">
                  <w:pPr>
                    <w:rPr>
                      <w:bCs/>
                      <w:lang w:val="ro-RO"/>
                    </w:rPr>
                  </w:pPr>
                </w:p>
              </w:tc>
            </w:tr>
            <w:tr w:rsidR="007A7D7B" w:rsidRPr="007A7D7B" w14:paraId="17C664B4" w14:textId="77777777" w:rsidTr="00805BDB">
              <w:trPr>
                <w:gridAfter w:val="1"/>
                <w:wAfter w:w="8" w:type="dxa"/>
                <w:trHeight w:val="557"/>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1C3E48E" w14:textId="77777777" w:rsidR="007A7D7B" w:rsidRPr="007A7D7B" w:rsidRDefault="007A7D7B" w:rsidP="00E9664D">
                  <w:pPr>
                    <w:tabs>
                      <w:tab w:val="left" w:pos="2952"/>
                    </w:tabs>
                    <w:spacing w:after="120"/>
                    <w:rPr>
                      <w:bCs/>
                      <w:lang w:val="ro-RO"/>
                    </w:rPr>
                  </w:pPr>
                  <w:r w:rsidRPr="007A7D7B">
                    <w:rPr>
                      <w:bCs/>
                      <w:lang w:val="ro-RO"/>
                    </w:rPr>
                    <w:lastRenderedPageBreak/>
                    <w:t xml:space="preserve">   4.8. Alte </w:t>
                  </w:r>
                  <w:proofErr w:type="spellStart"/>
                  <w:r w:rsidRPr="007A7D7B">
                    <w:rPr>
                      <w:bCs/>
                      <w:lang w:val="ro-RO"/>
                    </w:rPr>
                    <w:t>informaţii</w:t>
                  </w:r>
                  <w:proofErr w:type="spellEnd"/>
                  <w:r w:rsidRPr="007A7D7B">
                    <w:rPr>
                      <w:bCs/>
                      <w:lang w:val="ro-RO"/>
                    </w:rPr>
                    <w:t xml:space="preserve"> </w:t>
                  </w:r>
                </w:p>
              </w:tc>
              <w:tc>
                <w:tcPr>
                  <w:tcW w:w="6470" w:type="dxa"/>
                  <w:gridSpan w:val="6"/>
                  <w:tcBorders>
                    <w:top w:val="single" w:sz="4" w:space="0" w:color="auto"/>
                    <w:left w:val="single" w:sz="4" w:space="0" w:color="auto"/>
                    <w:bottom w:val="single" w:sz="4" w:space="0" w:color="auto"/>
                    <w:right w:val="single" w:sz="4" w:space="0" w:color="auto"/>
                  </w:tcBorders>
                  <w:shd w:val="clear" w:color="auto" w:fill="auto"/>
                </w:tcPr>
                <w:p w14:paraId="5C4251C1" w14:textId="77777777" w:rsidR="00DD6C6D" w:rsidRDefault="00DD6C6D" w:rsidP="00DD6C6D">
                  <w:pPr>
                    <w:ind w:right="69"/>
                    <w:rPr>
                      <w:rFonts w:eastAsia="Times New Roman"/>
                      <w:bCs/>
                      <w:color w:val="000000"/>
                      <w:szCs w:val="24"/>
                    </w:rPr>
                  </w:pPr>
                  <w:proofErr w:type="spellStart"/>
                  <w:r>
                    <w:rPr>
                      <w:rFonts w:eastAsia="Times New Roman"/>
                      <w:bCs/>
                      <w:color w:val="000000"/>
                      <w:szCs w:val="24"/>
                    </w:rPr>
                    <w:t>Sumele</w:t>
                  </w:r>
                  <w:proofErr w:type="spellEnd"/>
                  <w:r>
                    <w:rPr>
                      <w:rFonts w:eastAsia="Times New Roman"/>
                      <w:bCs/>
                      <w:color w:val="000000"/>
                      <w:szCs w:val="24"/>
                    </w:rPr>
                    <w:t xml:space="preserve"> sunt </w:t>
                  </w:r>
                  <w:proofErr w:type="spellStart"/>
                  <w:r>
                    <w:rPr>
                      <w:rFonts w:eastAsia="Times New Roman"/>
                      <w:bCs/>
                      <w:color w:val="000000"/>
                      <w:szCs w:val="24"/>
                    </w:rPr>
                    <w:t>exprimate</w:t>
                  </w:r>
                  <w:proofErr w:type="spellEnd"/>
                  <w:r>
                    <w:rPr>
                      <w:rFonts w:eastAsia="Times New Roman"/>
                      <w:bCs/>
                      <w:color w:val="000000"/>
                      <w:szCs w:val="24"/>
                    </w:rPr>
                    <w:t xml:space="preserve"> in mii lei </w:t>
                  </w:r>
                  <w:proofErr w:type="spellStart"/>
                  <w:r>
                    <w:rPr>
                      <w:rFonts w:eastAsia="Times New Roman"/>
                      <w:bCs/>
                      <w:color w:val="000000"/>
                      <w:szCs w:val="24"/>
                    </w:rPr>
                    <w:t>și</w:t>
                  </w:r>
                  <w:proofErr w:type="spellEnd"/>
                  <w:r>
                    <w:rPr>
                      <w:rFonts w:eastAsia="Times New Roman"/>
                      <w:bCs/>
                      <w:color w:val="000000"/>
                      <w:szCs w:val="24"/>
                    </w:rPr>
                    <w:t xml:space="preserve"> sunt </w:t>
                  </w:r>
                  <w:proofErr w:type="spellStart"/>
                  <w:r>
                    <w:rPr>
                      <w:rFonts w:eastAsia="Times New Roman"/>
                      <w:bCs/>
                      <w:color w:val="000000"/>
                      <w:szCs w:val="24"/>
                    </w:rPr>
                    <w:t>prevăzute</w:t>
                  </w:r>
                  <w:proofErr w:type="spellEnd"/>
                  <w:r>
                    <w:rPr>
                      <w:rFonts w:eastAsia="Times New Roman"/>
                      <w:bCs/>
                      <w:color w:val="000000"/>
                      <w:szCs w:val="24"/>
                    </w:rPr>
                    <w:t xml:space="preserve"> </w:t>
                  </w:r>
                  <w:proofErr w:type="spellStart"/>
                  <w:r>
                    <w:rPr>
                      <w:rFonts w:eastAsia="Times New Roman"/>
                      <w:bCs/>
                      <w:color w:val="000000"/>
                      <w:szCs w:val="24"/>
                    </w:rPr>
                    <w:t>în</w:t>
                  </w:r>
                  <w:proofErr w:type="spellEnd"/>
                  <w:r>
                    <w:rPr>
                      <w:rFonts w:eastAsia="Times New Roman"/>
                      <w:bCs/>
                      <w:color w:val="000000"/>
                      <w:szCs w:val="24"/>
                    </w:rPr>
                    <w:t xml:space="preserve"> </w:t>
                  </w:r>
                  <w:proofErr w:type="spellStart"/>
                  <w:r>
                    <w:rPr>
                      <w:rFonts w:eastAsia="Times New Roman"/>
                      <w:bCs/>
                      <w:color w:val="000000"/>
                      <w:szCs w:val="24"/>
                    </w:rPr>
                    <w:t>Planul</w:t>
                  </w:r>
                  <w:proofErr w:type="spellEnd"/>
                  <w:r>
                    <w:rPr>
                      <w:rFonts w:eastAsia="Times New Roman"/>
                      <w:bCs/>
                      <w:color w:val="000000"/>
                      <w:szCs w:val="24"/>
                    </w:rPr>
                    <w:t xml:space="preserve"> de </w:t>
                  </w:r>
                  <w:proofErr w:type="spellStart"/>
                  <w:proofErr w:type="gramStart"/>
                  <w:r>
                    <w:rPr>
                      <w:rFonts w:eastAsia="Times New Roman"/>
                      <w:bCs/>
                      <w:color w:val="000000"/>
                      <w:szCs w:val="24"/>
                    </w:rPr>
                    <w:t>acțiune</w:t>
                  </w:r>
                  <w:proofErr w:type="spellEnd"/>
                  <w:r>
                    <w:rPr>
                      <w:rFonts w:eastAsia="Times New Roman"/>
                      <w:bCs/>
                      <w:color w:val="000000"/>
                      <w:szCs w:val="24"/>
                    </w:rPr>
                    <w:t xml:space="preserve">  </w:t>
                  </w:r>
                  <w:proofErr w:type="spellStart"/>
                  <w:r>
                    <w:rPr>
                      <w:rFonts w:eastAsia="Times New Roman"/>
                      <w:bCs/>
                      <w:color w:val="000000"/>
                      <w:szCs w:val="24"/>
                    </w:rPr>
                    <w:t>în</w:t>
                  </w:r>
                  <w:proofErr w:type="spellEnd"/>
                  <w:proofErr w:type="gramEnd"/>
                  <w:r>
                    <w:rPr>
                      <w:rFonts w:eastAsia="Times New Roman"/>
                      <w:bCs/>
                      <w:color w:val="000000"/>
                      <w:szCs w:val="24"/>
                    </w:rPr>
                    <w:t xml:space="preserve"> </w:t>
                  </w:r>
                  <w:proofErr w:type="spellStart"/>
                  <w:r>
                    <w:rPr>
                      <w:rFonts w:eastAsia="Times New Roman"/>
                      <w:bCs/>
                      <w:color w:val="000000"/>
                      <w:szCs w:val="24"/>
                    </w:rPr>
                    <w:t>milioane</w:t>
                  </w:r>
                  <w:proofErr w:type="spellEnd"/>
                  <w:r>
                    <w:rPr>
                      <w:rFonts w:eastAsia="Times New Roman"/>
                      <w:bCs/>
                      <w:color w:val="000000"/>
                      <w:szCs w:val="24"/>
                    </w:rPr>
                    <w:t xml:space="preserve"> €.</w:t>
                  </w:r>
                </w:p>
                <w:p w14:paraId="544936C1" w14:textId="05CBBE09" w:rsidR="007A7D7B" w:rsidRPr="007A7D7B" w:rsidRDefault="007A7D7B" w:rsidP="00E9664D">
                  <w:pPr>
                    <w:autoSpaceDE w:val="0"/>
                    <w:autoSpaceDN w:val="0"/>
                    <w:adjustRightInd w:val="0"/>
                    <w:rPr>
                      <w:bCs/>
                      <w:lang w:val="ro-RO"/>
                    </w:rPr>
                  </w:pPr>
                </w:p>
              </w:tc>
            </w:tr>
          </w:tbl>
          <w:p w14:paraId="31121805" w14:textId="77777777" w:rsidR="007A7D7B" w:rsidRPr="007A7D7B" w:rsidRDefault="007A7D7B" w:rsidP="00E9664D">
            <w:pPr>
              <w:spacing w:after="120"/>
              <w:rPr>
                <w:bCs/>
                <w:lang w:val="ro-RO"/>
              </w:rPr>
            </w:pPr>
          </w:p>
        </w:tc>
      </w:tr>
      <w:tr w:rsidR="007A7D7B" w:rsidRPr="007A7D7B" w14:paraId="5BFC8C9E" w14:textId="77777777" w:rsidTr="007A7D7B">
        <w:trPr>
          <w:trHeight w:val="339"/>
          <w:tblCellSpacing w:w="0" w:type="dxa"/>
        </w:trPr>
        <w:tc>
          <w:tcPr>
            <w:tcW w:w="10260" w:type="dxa"/>
            <w:gridSpan w:val="4"/>
            <w:tcMar>
              <w:top w:w="15" w:type="dxa"/>
              <w:left w:w="15" w:type="dxa"/>
              <w:bottom w:w="15" w:type="dxa"/>
              <w:right w:w="15" w:type="dxa"/>
            </w:tcMar>
          </w:tcPr>
          <w:p w14:paraId="3E3AF165" w14:textId="77777777" w:rsidR="007A7D7B" w:rsidRPr="007A7D7B" w:rsidRDefault="007A7D7B" w:rsidP="00E9664D">
            <w:pPr>
              <w:spacing w:after="120" w:line="276" w:lineRule="auto"/>
              <w:jc w:val="center"/>
              <w:rPr>
                <w:bCs/>
                <w:lang w:val="ro-RO"/>
              </w:rPr>
            </w:pPr>
          </w:p>
          <w:p w14:paraId="764B7E97" w14:textId="77777777" w:rsidR="007A7D7B" w:rsidRPr="007A7D7B" w:rsidRDefault="007A7D7B" w:rsidP="00E9664D">
            <w:pPr>
              <w:spacing w:after="120" w:line="276" w:lineRule="auto"/>
              <w:jc w:val="center"/>
              <w:rPr>
                <w:b/>
                <w:lang w:val="ro-RO"/>
              </w:rPr>
            </w:pPr>
            <w:proofErr w:type="spellStart"/>
            <w:r w:rsidRPr="007A7D7B">
              <w:rPr>
                <w:b/>
                <w:lang w:val="ro-RO"/>
              </w:rPr>
              <w:t>Secţiunea</w:t>
            </w:r>
            <w:proofErr w:type="spellEnd"/>
            <w:r w:rsidRPr="007A7D7B">
              <w:rPr>
                <w:b/>
                <w:lang w:val="ro-RO"/>
              </w:rPr>
              <w:t xml:space="preserve"> a 5-a</w:t>
            </w:r>
          </w:p>
          <w:p w14:paraId="49444AF6" w14:textId="77777777" w:rsidR="007A7D7B" w:rsidRPr="007A7D7B" w:rsidRDefault="007A7D7B" w:rsidP="00E9664D">
            <w:pPr>
              <w:spacing w:after="120" w:line="276" w:lineRule="auto"/>
              <w:jc w:val="center"/>
              <w:rPr>
                <w:bCs/>
                <w:lang w:val="ro-RO"/>
              </w:rPr>
            </w:pPr>
            <w:r w:rsidRPr="007A7D7B">
              <w:rPr>
                <w:b/>
                <w:lang w:val="ro-RO"/>
              </w:rPr>
              <w:t xml:space="preserve">Efectele proiectului de act normativ asupra </w:t>
            </w:r>
            <w:proofErr w:type="spellStart"/>
            <w:r w:rsidRPr="007A7D7B">
              <w:rPr>
                <w:b/>
                <w:lang w:val="ro-RO"/>
              </w:rPr>
              <w:t>legislaţiei</w:t>
            </w:r>
            <w:proofErr w:type="spellEnd"/>
            <w:r w:rsidRPr="007A7D7B">
              <w:rPr>
                <w:b/>
                <w:lang w:val="ro-RO"/>
              </w:rPr>
              <w:t xml:space="preserve"> în vigoare</w:t>
            </w:r>
          </w:p>
        </w:tc>
      </w:tr>
      <w:tr w:rsidR="007A7D7B" w:rsidRPr="007A7D7B" w14:paraId="1267FF93" w14:textId="77777777" w:rsidTr="007A7D7B">
        <w:trPr>
          <w:trHeight w:val="339"/>
          <w:tblCellSpacing w:w="0" w:type="dxa"/>
        </w:trPr>
        <w:tc>
          <w:tcPr>
            <w:tcW w:w="4320" w:type="dxa"/>
            <w:gridSpan w:val="3"/>
            <w:tcMar>
              <w:top w:w="15" w:type="dxa"/>
              <w:left w:w="15" w:type="dxa"/>
              <w:bottom w:w="15" w:type="dxa"/>
              <w:right w:w="15" w:type="dxa"/>
            </w:tcMar>
          </w:tcPr>
          <w:p w14:paraId="02AB6DA8" w14:textId="77777777" w:rsidR="007A7D7B" w:rsidRPr="007A7D7B" w:rsidRDefault="007A7D7B" w:rsidP="00E9664D">
            <w:pPr>
              <w:spacing w:after="120"/>
              <w:rPr>
                <w:bCs/>
                <w:lang w:val="ro-RO"/>
              </w:rPr>
            </w:pPr>
            <w:r w:rsidRPr="007A7D7B">
              <w:rPr>
                <w:bCs/>
                <w:lang w:val="ro-RO"/>
              </w:rPr>
              <w:t>5.1. Măsuri normative necesare pentru aplicarea prevederilor proiectului de act normativ</w:t>
            </w:r>
          </w:p>
        </w:tc>
        <w:tc>
          <w:tcPr>
            <w:tcW w:w="5940" w:type="dxa"/>
            <w:vAlign w:val="center"/>
          </w:tcPr>
          <w:p w14:paraId="1AB9B823" w14:textId="4E40DA7F" w:rsidR="00A46DE1" w:rsidRPr="00A46DE1" w:rsidRDefault="00A46DE1" w:rsidP="00A46DE1">
            <w:pPr>
              <w:spacing w:after="120"/>
              <w:rPr>
                <w:bCs/>
                <w:lang w:val="ro-RO"/>
              </w:rPr>
            </w:pPr>
            <w:r w:rsidRPr="00A46DE1">
              <w:rPr>
                <w:bCs/>
                <w:lang w:val="ro-RO"/>
              </w:rPr>
              <w:t>Strategia națională de management al riscului la inundații pe termen mediu și lung completează alte strategii și programe guvernamentale. Printre cele mai relevante strategii, se menționează Strategia Națională pentru Dezvoltare Durabilă a României Orizonturi 2013–2020–2030 (2008), Strategia de Dezvoltare Teritorială a României (S.D.T.R.) (2014), Strategia Națională pentru Păduri 2030 (S.N.P.30), Strategia Națională pentru Reducerea Riscului la Dezastre 2023-2035 (S.N.R.R.D.) (în curs de aprobare), Strategia Națională și Planul de Acțiune pentru Conservarea Biodiversității 2014–2020 (actualizate), Strategia Națională privind Adaptarea la Schimbările Climatice pentru perioada 2023-2030 cu perspectiva anului 2050 (S.N.A.S.C.) (în curs de aprobare), Strategia Națională de Cercetare Inovare și Specializare Inteligentă 2022-2027.</w:t>
            </w:r>
          </w:p>
          <w:p w14:paraId="61D9DA26" w14:textId="77777777" w:rsidR="00A46DE1" w:rsidRPr="00A46DE1" w:rsidRDefault="00A46DE1" w:rsidP="00A46DE1">
            <w:pPr>
              <w:spacing w:after="120"/>
              <w:rPr>
                <w:bCs/>
                <w:lang w:val="ro-RO"/>
              </w:rPr>
            </w:pPr>
            <w:r w:rsidRPr="00A46DE1">
              <w:rPr>
                <w:bCs/>
                <w:lang w:val="ro-RO"/>
              </w:rPr>
              <w:t xml:space="preserve">Pentru implementarea cu succes a Strategiei Naționale de Management al Riscului la Inundații pe termen mediu și lung (versiune revizuită) și a Planului de Acțiune asociat, sunt necesare o serie de măsuri suport (măsuri legislative, instituționale, administrative), între care se menționează: </w:t>
            </w:r>
          </w:p>
          <w:p w14:paraId="7D92CFEC" w14:textId="77777777" w:rsidR="00A46DE1" w:rsidRPr="00A46DE1" w:rsidRDefault="00A46DE1" w:rsidP="00A46DE1">
            <w:pPr>
              <w:numPr>
                <w:ilvl w:val="0"/>
                <w:numId w:val="24"/>
              </w:numPr>
              <w:spacing w:after="120"/>
              <w:rPr>
                <w:bCs/>
                <w:lang w:val="ro-RO"/>
              </w:rPr>
            </w:pPr>
            <w:r w:rsidRPr="00A46DE1">
              <w:rPr>
                <w:bCs/>
                <w:lang w:val="ro-RO"/>
              </w:rPr>
              <w:t>modificări legislative, care să asigure eficiența aplicării acesteia. Un exemplu în acest sens este reprezentat de necesitatea revizuirii unor acte normative de organizare și funcționare ale autorităților publice implicate în managementul riscului la inundații. Având în vedere numărul mare de instituții cu responsabilități în managementul riscului la inundații, se va avea în vedere armonizarea acestora cu prevederile proiectului revizuit al Strategiei Naționale de Management al Riscului la Inundații pe termen mediu și lung și în concordanță cu planul de implementare aferent (v. anexa care conține Planul de Acțiune - defalcat pe măsuri / acțiuni, instituții responsabile, perioade de implementare și indicatori de monitorizare și etapele evaluării);</w:t>
            </w:r>
          </w:p>
          <w:p w14:paraId="043F9510" w14:textId="77777777" w:rsidR="00A46DE1" w:rsidRPr="00A46DE1" w:rsidRDefault="00A46DE1" w:rsidP="00A46DE1">
            <w:pPr>
              <w:numPr>
                <w:ilvl w:val="0"/>
                <w:numId w:val="24"/>
              </w:numPr>
              <w:spacing w:after="120"/>
              <w:rPr>
                <w:bCs/>
                <w:lang w:val="ro-RO"/>
              </w:rPr>
            </w:pPr>
            <w:r w:rsidRPr="00A46DE1">
              <w:rPr>
                <w:bCs/>
                <w:lang w:val="ro-RO"/>
              </w:rPr>
              <w:t xml:space="preserve">încheierea de protocoale inter-instituționale (inițiator Ministerul Mediului, Apelor și Pădurilor), care să conducă la îmbunătățirea comunicării </w:t>
            </w:r>
            <w:proofErr w:type="spellStart"/>
            <w:r w:rsidRPr="00A46DE1">
              <w:rPr>
                <w:bCs/>
                <w:lang w:val="ro-RO"/>
              </w:rPr>
              <w:t>şi</w:t>
            </w:r>
            <w:proofErr w:type="spellEnd"/>
            <w:r w:rsidRPr="00A46DE1">
              <w:rPr>
                <w:bCs/>
                <w:lang w:val="ro-RO"/>
              </w:rPr>
              <w:t xml:space="preserve"> cooperării între ministerele cu atribuții în implementarea măsurilor / acțiunilor prevăzute în Planul de Acțiune (inclusiv prin prevederea unor proceduri de lucru);</w:t>
            </w:r>
          </w:p>
          <w:p w14:paraId="164631E6" w14:textId="77777777" w:rsidR="00A46DE1" w:rsidRPr="00A46DE1" w:rsidRDefault="00A46DE1" w:rsidP="00A46DE1">
            <w:pPr>
              <w:numPr>
                <w:ilvl w:val="0"/>
                <w:numId w:val="24"/>
              </w:numPr>
              <w:spacing w:after="120"/>
              <w:rPr>
                <w:bCs/>
                <w:lang w:val="ro-RO"/>
              </w:rPr>
            </w:pPr>
            <w:r w:rsidRPr="00A46DE1">
              <w:rPr>
                <w:bCs/>
                <w:lang w:val="ro-RO"/>
              </w:rPr>
              <w:t xml:space="preserve">continuarea consolidării capacității administrative a Direcțiilor / Departamentelor Tehnice de specialitate din cadrul M.M.A.P. și a A.N.A.R. prin organizarea </w:t>
            </w:r>
            <w:r w:rsidRPr="00A46DE1">
              <w:rPr>
                <w:bCs/>
                <w:lang w:val="ro-RO"/>
              </w:rPr>
              <w:lastRenderedPageBreak/>
              <w:t xml:space="preserve">constantă de cursuri de formare și perfecționare profesională; </w:t>
            </w:r>
          </w:p>
          <w:p w14:paraId="059A7ADC" w14:textId="5FB0C1DB" w:rsidR="007A7D7B" w:rsidRPr="00A46DE1" w:rsidRDefault="00A46DE1" w:rsidP="00E9664D">
            <w:pPr>
              <w:numPr>
                <w:ilvl w:val="0"/>
                <w:numId w:val="24"/>
              </w:numPr>
              <w:spacing w:after="120"/>
              <w:rPr>
                <w:bCs/>
                <w:lang w:val="ro-RO"/>
              </w:rPr>
            </w:pPr>
            <w:r w:rsidRPr="00A46DE1">
              <w:rPr>
                <w:bCs/>
                <w:lang w:val="ro-RO"/>
              </w:rPr>
              <w:t>asigurarea personalului operativ A.N.A.R. la un nivel optim, precum și a unui nivel de salarizare competitiv comparativ cu alte autorități ale statului; implementarea măsurilor privind exploatarea în siguranță a infrastructurii de apărare împotriva inundațiilor, realizarea de noi investiții, precum și întreținerea infrastructurii de apărare existente necesită, pe lângă un efort financiar substanțial, și o resursă umană cu o pregătire superioară și calificată în acest sens (în prezent, domeniul gospodăririi apelor se confruntă cu un deficit important de personal, de cca. 30%, atât la nivel central, cât și în teritoriu, atât cu pregătire tehnică medie, cât și de nivel superior);</w:t>
            </w:r>
          </w:p>
        </w:tc>
      </w:tr>
      <w:tr w:rsidR="007A7D7B" w:rsidRPr="007A7D7B" w14:paraId="238C7F9E" w14:textId="77777777" w:rsidTr="007A7D7B">
        <w:trPr>
          <w:trHeight w:val="339"/>
          <w:tblCellSpacing w:w="0" w:type="dxa"/>
        </w:trPr>
        <w:tc>
          <w:tcPr>
            <w:tcW w:w="4320" w:type="dxa"/>
            <w:gridSpan w:val="3"/>
            <w:tcMar>
              <w:top w:w="15" w:type="dxa"/>
              <w:left w:w="15" w:type="dxa"/>
              <w:bottom w:w="15" w:type="dxa"/>
              <w:right w:w="15" w:type="dxa"/>
            </w:tcMar>
          </w:tcPr>
          <w:p w14:paraId="3AC476F8" w14:textId="77777777" w:rsidR="007A7D7B" w:rsidRPr="007A7D7B" w:rsidRDefault="007A7D7B" w:rsidP="00E9664D">
            <w:pPr>
              <w:spacing w:after="120"/>
              <w:rPr>
                <w:bCs/>
                <w:lang w:val="ro-RO"/>
              </w:rPr>
            </w:pPr>
            <w:r w:rsidRPr="007A7D7B">
              <w:rPr>
                <w:bCs/>
                <w:lang w:val="ro-RO"/>
              </w:rPr>
              <w:lastRenderedPageBreak/>
              <w:t xml:space="preserve">5.2. Impactul asupra </w:t>
            </w:r>
            <w:proofErr w:type="spellStart"/>
            <w:r w:rsidRPr="007A7D7B">
              <w:rPr>
                <w:bCs/>
                <w:lang w:val="ro-RO"/>
              </w:rPr>
              <w:t>legislaţiei</w:t>
            </w:r>
            <w:proofErr w:type="spellEnd"/>
            <w:r w:rsidRPr="007A7D7B">
              <w:rPr>
                <w:bCs/>
                <w:lang w:val="ro-RO"/>
              </w:rPr>
              <w:t xml:space="preserve"> în domeniul </w:t>
            </w:r>
            <w:proofErr w:type="spellStart"/>
            <w:r w:rsidRPr="007A7D7B">
              <w:rPr>
                <w:bCs/>
                <w:lang w:val="ro-RO"/>
              </w:rPr>
              <w:t>achiziţiilor</w:t>
            </w:r>
            <w:proofErr w:type="spellEnd"/>
            <w:r w:rsidRPr="007A7D7B">
              <w:rPr>
                <w:bCs/>
                <w:lang w:val="ro-RO"/>
              </w:rPr>
              <w:t xml:space="preserve"> publice</w:t>
            </w:r>
          </w:p>
        </w:tc>
        <w:tc>
          <w:tcPr>
            <w:tcW w:w="5940" w:type="dxa"/>
            <w:vAlign w:val="center"/>
          </w:tcPr>
          <w:p w14:paraId="1E14EB1D" w14:textId="77777777" w:rsidR="007A7D7B" w:rsidRPr="007A7D7B" w:rsidRDefault="007A7D7B" w:rsidP="00E9664D">
            <w:pPr>
              <w:spacing w:after="120"/>
              <w:rPr>
                <w:bCs/>
                <w:lang w:val="ro-RO"/>
              </w:rPr>
            </w:pPr>
            <w:r w:rsidRPr="007A7D7B">
              <w:rPr>
                <w:bCs/>
                <w:lang w:val="ro-RO"/>
              </w:rPr>
              <w:t>Proiectul  de  act normativ nu se  referă  la acest subiect.</w:t>
            </w:r>
          </w:p>
        </w:tc>
      </w:tr>
      <w:tr w:rsidR="007A7D7B" w:rsidRPr="007A7D7B" w14:paraId="1DF8D26C" w14:textId="77777777" w:rsidTr="007A7D7B">
        <w:trPr>
          <w:trHeight w:val="339"/>
          <w:tblCellSpacing w:w="0" w:type="dxa"/>
        </w:trPr>
        <w:tc>
          <w:tcPr>
            <w:tcW w:w="4320" w:type="dxa"/>
            <w:gridSpan w:val="3"/>
            <w:tcMar>
              <w:top w:w="15" w:type="dxa"/>
              <w:left w:w="15" w:type="dxa"/>
              <w:bottom w:w="15" w:type="dxa"/>
              <w:right w:w="15" w:type="dxa"/>
            </w:tcMar>
          </w:tcPr>
          <w:p w14:paraId="6008A032" w14:textId="77777777" w:rsidR="007A7D7B" w:rsidRPr="007A7D7B" w:rsidRDefault="007A7D7B" w:rsidP="00E9664D">
            <w:pPr>
              <w:spacing w:after="120"/>
              <w:rPr>
                <w:bCs/>
                <w:lang w:val="ro-RO"/>
              </w:rPr>
            </w:pPr>
            <w:r w:rsidRPr="007A7D7B">
              <w:rPr>
                <w:bCs/>
                <w:lang w:val="ro-RO"/>
              </w:rPr>
              <w:t xml:space="preserve">5.3. Conformitatea proiectului de act normativ cu </w:t>
            </w:r>
            <w:proofErr w:type="spellStart"/>
            <w:r w:rsidRPr="007A7D7B">
              <w:rPr>
                <w:bCs/>
                <w:lang w:val="ro-RO"/>
              </w:rPr>
              <w:t>legislaţia</w:t>
            </w:r>
            <w:proofErr w:type="spellEnd"/>
            <w:r w:rsidRPr="007A7D7B">
              <w:rPr>
                <w:bCs/>
                <w:lang w:val="ro-RO"/>
              </w:rPr>
              <w:t xml:space="preserve"> UE (în cazul proiectelor ce transpun sau asigură aplicarea unor prevederi de drept UE)</w:t>
            </w:r>
          </w:p>
        </w:tc>
        <w:tc>
          <w:tcPr>
            <w:tcW w:w="5940" w:type="dxa"/>
            <w:vAlign w:val="center"/>
          </w:tcPr>
          <w:p w14:paraId="5D000F3C" w14:textId="3193A665" w:rsidR="00A46DE1" w:rsidRPr="00A46DE1" w:rsidRDefault="00A46DE1" w:rsidP="00A46DE1">
            <w:pPr>
              <w:spacing w:after="120"/>
              <w:rPr>
                <w:lang w:val="ro-RO"/>
              </w:rPr>
            </w:pPr>
            <w:r w:rsidRPr="00A46DE1">
              <w:rPr>
                <w:lang w:val="ro-RO"/>
              </w:rPr>
              <w:t>Problematica de management al riscului la inundații este una constantă, atât la nivel global, cât și la nivelul Uniunii Europene. Strategia Națională de Management al Riscului la Inundații este racordată și respectă prevederile cadrului legislativ și de politici la nivel internațional (UNFCCC, Acordul de la Paris) și european, respectiv ale Directivelor Europene (Directiva 2007/60/C.E.</w:t>
            </w:r>
            <w:r>
              <w:rPr>
                <w:lang w:val="ro-RO"/>
              </w:rPr>
              <w:t xml:space="preserve"> </w:t>
            </w:r>
            <w:r w:rsidRPr="00AB3529">
              <w:rPr>
                <w:rFonts w:eastAsia="Arial Unicode MS"/>
                <w:bCs/>
                <w:color w:val="000000"/>
                <w:szCs w:val="24"/>
                <w:lang w:val="ro-RO" w:bidi="en-US"/>
              </w:rPr>
              <w:t>a Parlamentului European și a Consiliului din 23 octombrie 2007</w:t>
            </w:r>
            <w:r w:rsidRPr="00A46DE1">
              <w:rPr>
                <w:lang w:val="ro-RO"/>
              </w:rPr>
              <w:t xml:space="preserve">, Directiva 92/43/CEE </w:t>
            </w:r>
            <w:r>
              <w:rPr>
                <w:lang w:val="ro-RO"/>
              </w:rPr>
              <w:t>a</w:t>
            </w:r>
            <w:r w:rsidRPr="00A46DE1">
              <w:rPr>
                <w:lang w:val="ro-RO"/>
              </w:rPr>
              <w:t xml:space="preserve"> Consiliului</w:t>
            </w:r>
            <w:r>
              <w:rPr>
                <w:lang w:val="ro-RO"/>
              </w:rPr>
              <w:t xml:space="preserve"> </w:t>
            </w:r>
            <w:r w:rsidRPr="00A46DE1">
              <w:rPr>
                <w:lang w:val="ro-RO"/>
              </w:rPr>
              <w:t>din 21 mai 1992</w:t>
            </w:r>
            <w:r>
              <w:rPr>
                <w:lang w:val="ro-RO"/>
              </w:rPr>
              <w:t xml:space="preserve"> </w:t>
            </w:r>
            <w:r w:rsidRPr="00A46DE1">
              <w:rPr>
                <w:lang w:val="ro-RO"/>
              </w:rPr>
              <w:t xml:space="preserve">privind conservarea habitatelor naturale și a speciilor de faună și floră sălbatică, Directiva 2000/60/CE </w:t>
            </w:r>
            <w:r>
              <w:rPr>
                <w:lang w:val="ro-RO"/>
              </w:rPr>
              <w:t>a</w:t>
            </w:r>
            <w:r w:rsidRPr="00A46DE1">
              <w:rPr>
                <w:lang w:val="ro-RO"/>
              </w:rPr>
              <w:t xml:space="preserve"> Parlamentului European și a Consiliului</w:t>
            </w:r>
            <w:r w:rsidR="004378FE">
              <w:rPr>
                <w:lang w:val="ro-RO"/>
              </w:rPr>
              <w:t xml:space="preserve"> </w:t>
            </w:r>
            <w:r w:rsidRPr="00A46DE1">
              <w:rPr>
                <w:lang w:val="ro-RO"/>
              </w:rPr>
              <w:t>din 23 octombrie 2000</w:t>
            </w:r>
            <w:r w:rsidR="004378FE">
              <w:rPr>
                <w:lang w:val="ro-RO"/>
              </w:rPr>
              <w:t xml:space="preserve"> </w:t>
            </w:r>
            <w:r w:rsidRPr="00A46DE1">
              <w:rPr>
                <w:lang w:val="ro-RO"/>
              </w:rPr>
              <w:t>de stabilire a unui cadru de politică comunitară în domeniul ape), precum și a politicilor / strategiilor / priorităților europene în vigoare, după cum urmează (listate în ordinea publicării):</w:t>
            </w:r>
          </w:p>
          <w:p w14:paraId="66554A1C" w14:textId="77777777" w:rsidR="00A46DE1" w:rsidRPr="00A46DE1" w:rsidRDefault="00A46DE1" w:rsidP="00A46DE1">
            <w:pPr>
              <w:spacing w:after="120"/>
              <w:rPr>
                <w:lang w:val="ro-RO"/>
              </w:rPr>
            </w:pPr>
            <w:r w:rsidRPr="00A46DE1">
              <w:rPr>
                <w:lang w:val="ro-RO"/>
              </w:rPr>
              <w:t xml:space="preserve">Common </w:t>
            </w:r>
            <w:proofErr w:type="spellStart"/>
            <w:r w:rsidRPr="00A46DE1">
              <w:rPr>
                <w:lang w:val="ro-RO"/>
              </w:rPr>
              <w:t>Agricultural</w:t>
            </w:r>
            <w:proofErr w:type="spellEnd"/>
            <w:r w:rsidRPr="00A46DE1">
              <w:rPr>
                <w:lang w:val="ro-RO"/>
              </w:rPr>
              <w:t xml:space="preserve"> </w:t>
            </w:r>
            <w:proofErr w:type="spellStart"/>
            <w:r w:rsidRPr="00A46DE1">
              <w:rPr>
                <w:lang w:val="ro-RO"/>
              </w:rPr>
              <w:t>Policy</w:t>
            </w:r>
            <w:proofErr w:type="spellEnd"/>
            <w:r w:rsidRPr="00A46DE1">
              <w:rPr>
                <w:lang w:val="ro-RO"/>
              </w:rPr>
              <w:t xml:space="preserve"> / Politica Agricolă Comună – reprezintă o politică esențială pentru a asigura viitorul agriculturii și al silviculturii, precum și pentru a atinge obiectivele din Pactul Verde European; reforma a fost adoptată pe 02.12.2021 și conform noii legislații a intrat în vigoare la data de 01.01.2023 - exercițiul financiar derulat în perioada 2023-2027;</w:t>
            </w:r>
          </w:p>
          <w:p w14:paraId="710901CA" w14:textId="7CDE5243" w:rsidR="00A46DE1" w:rsidRPr="00A46DE1" w:rsidRDefault="00A46DE1" w:rsidP="00A46DE1">
            <w:pPr>
              <w:spacing w:after="120"/>
              <w:rPr>
                <w:lang w:val="ro-RO"/>
              </w:rPr>
            </w:pPr>
            <w:r w:rsidRPr="00A46DE1">
              <w:rPr>
                <w:lang w:val="ro-RO"/>
              </w:rPr>
              <w:t xml:space="preserve">EU </w:t>
            </w:r>
            <w:proofErr w:type="spellStart"/>
            <w:r w:rsidRPr="00A46DE1">
              <w:rPr>
                <w:lang w:val="ro-RO"/>
              </w:rPr>
              <w:t>Strategy</w:t>
            </w:r>
            <w:proofErr w:type="spellEnd"/>
            <w:r w:rsidRPr="00A46DE1">
              <w:rPr>
                <w:lang w:val="ro-RO"/>
              </w:rPr>
              <w:t xml:space="preserve"> on </w:t>
            </w:r>
            <w:proofErr w:type="spellStart"/>
            <w:r w:rsidRPr="00A46DE1">
              <w:rPr>
                <w:lang w:val="ro-RO"/>
              </w:rPr>
              <w:t>Adaptation</w:t>
            </w:r>
            <w:proofErr w:type="spellEnd"/>
            <w:r w:rsidRPr="00A46DE1">
              <w:rPr>
                <w:lang w:val="ro-RO"/>
              </w:rPr>
              <w:t xml:space="preserve"> </w:t>
            </w:r>
            <w:proofErr w:type="spellStart"/>
            <w:r w:rsidRPr="00A46DE1">
              <w:rPr>
                <w:lang w:val="ro-RO"/>
              </w:rPr>
              <w:t>to</w:t>
            </w:r>
            <w:proofErr w:type="spellEnd"/>
            <w:r w:rsidRPr="00A46DE1">
              <w:rPr>
                <w:lang w:val="ro-RO"/>
              </w:rPr>
              <w:t xml:space="preserve"> Climate </w:t>
            </w:r>
            <w:proofErr w:type="spellStart"/>
            <w:r w:rsidRPr="00A46DE1">
              <w:rPr>
                <w:lang w:val="ro-RO"/>
              </w:rPr>
              <w:t>Change</w:t>
            </w:r>
            <w:proofErr w:type="spellEnd"/>
            <w:r w:rsidRPr="00A46DE1">
              <w:rPr>
                <w:lang w:val="ro-RO"/>
              </w:rPr>
              <w:t xml:space="preserve"> / Strategia U.E. privind </w:t>
            </w:r>
            <w:r w:rsidR="004378FE" w:rsidRPr="00A46DE1">
              <w:rPr>
                <w:lang w:val="ro-RO"/>
              </w:rPr>
              <w:t xml:space="preserve">adaptarea la schimbările climatice </w:t>
            </w:r>
            <w:r w:rsidRPr="00A46DE1">
              <w:rPr>
                <w:lang w:val="ro-RO"/>
              </w:rPr>
              <w:t>- în strategie se evidențiază pericolul și amenințările legate de sănătate, din cauza schimbărilor climatice continue; acestea sunt grave și pot fi abordate numai la nivel transfrontalier. Printre acestea se numără decesele și pagubele cauzate de inundații, valuri de căldură sau incendii de pădure. În acest sens, o soluție poate fi refacerea capacității de infiltrație (funcția de burete) a solurilor ce va stimula alimentarea rezervei de apă din acvifere și reducerea riscului la inundații - strategie aprobată pe 24.02.2021;</w:t>
            </w:r>
          </w:p>
          <w:p w14:paraId="019698A0" w14:textId="77777777" w:rsidR="00A46DE1" w:rsidRPr="00A46DE1" w:rsidRDefault="00A46DE1" w:rsidP="00A46DE1">
            <w:pPr>
              <w:spacing w:after="120"/>
              <w:rPr>
                <w:lang w:val="ro-RO"/>
              </w:rPr>
            </w:pPr>
            <w:r w:rsidRPr="00A46DE1">
              <w:rPr>
                <w:lang w:val="ro-RO"/>
              </w:rPr>
              <w:lastRenderedPageBreak/>
              <w:t xml:space="preserve">EU </w:t>
            </w:r>
            <w:proofErr w:type="spellStart"/>
            <w:r w:rsidRPr="00A46DE1">
              <w:rPr>
                <w:lang w:val="ro-RO"/>
              </w:rPr>
              <w:t>Biodiversity</w:t>
            </w:r>
            <w:proofErr w:type="spellEnd"/>
            <w:r w:rsidRPr="00A46DE1">
              <w:rPr>
                <w:lang w:val="ro-RO"/>
              </w:rPr>
              <w:t xml:space="preserve"> </w:t>
            </w:r>
            <w:proofErr w:type="spellStart"/>
            <w:r w:rsidRPr="00A46DE1">
              <w:rPr>
                <w:lang w:val="ro-RO"/>
              </w:rPr>
              <w:t>Strategy</w:t>
            </w:r>
            <w:proofErr w:type="spellEnd"/>
            <w:r w:rsidRPr="00A46DE1">
              <w:rPr>
                <w:lang w:val="ro-RO"/>
              </w:rPr>
              <w:t xml:space="preserve"> for 2030 / Strategia U.E. privind Biodiversitatea pentru 2030 – ce își propune să fie piatra de temelie a protecției naturii la nivelul statelor membre ale Uniunii Europene și constituie un element cheie al Pactului Verde European. Acțiunile propuse prin această strategie prevăd crearea unor zone protejate care să acopere cel puțin 30% din suprafața terestră și maritimă a U.E., extinzând acoperirea zonelor Natura 2000 existente, refacerea ecosistemelor degradate, reducerea cu 50% a utilizării pesticidelor și a riscului aferent până în 2023, plantarea a 3 mld. de copaci în întreaga U.E. și crearea unui cadru ambițios pentru biodiversitate;</w:t>
            </w:r>
          </w:p>
          <w:p w14:paraId="0969D785" w14:textId="77777777" w:rsidR="00A46DE1" w:rsidRPr="00A46DE1" w:rsidRDefault="00A46DE1" w:rsidP="00A46DE1">
            <w:pPr>
              <w:spacing w:after="120"/>
              <w:rPr>
                <w:lang w:val="ro-RO"/>
              </w:rPr>
            </w:pPr>
            <w:proofErr w:type="spellStart"/>
            <w:r w:rsidRPr="00A46DE1">
              <w:rPr>
                <w:lang w:val="ro-RO"/>
              </w:rPr>
              <w:t>Water</w:t>
            </w:r>
            <w:proofErr w:type="spellEnd"/>
            <w:r w:rsidRPr="00A46DE1">
              <w:rPr>
                <w:lang w:val="ro-RO"/>
              </w:rPr>
              <w:t xml:space="preserve"> Framework Directive / Directiva-Cadru privind Apa – directiva asigură stabilirea unor norme pentru oprirea deteriorării stării corpurilor de apă din U.E. și pentru obținerea și / sau menținerea unei stări bune a râurilor, a lacurilor și a apelor subterane din Europa. Directiva se bazează pe o abordare de district (bazin) hidrografic pentru a se asigura că țările vecine cooperează pentru a gestiona râurile și alte corpuri de apă subterane pe care le au în comun - aflată în proces de implementare ciclică, începând cu anul 2000;</w:t>
            </w:r>
          </w:p>
          <w:p w14:paraId="3C7DAEEF" w14:textId="77777777" w:rsidR="00A46DE1" w:rsidRPr="00A46DE1" w:rsidRDefault="00A46DE1" w:rsidP="00A46DE1">
            <w:pPr>
              <w:spacing w:after="120"/>
              <w:rPr>
                <w:lang w:val="ro-RO"/>
              </w:rPr>
            </w:pPr>
            <w:proofErr w:type="spellStart"/>
            <w:r w:rsidRPr="00A46DE1">
              <w:rPr>
                <w:lang w:val="ro-RO"/>
              </w:rPr>
              <w:t>Birds</w:t>
            </w:r>
            <w:proofErr w:type="spellEnd"/>
            <w:r w:rsidRPr="00A46DE1">
              <w:rPr>
                <w:lang w:val="ro-RO"/>
              </w:rPr>
              <w:t xml:space="preserve"> </w:t>
            </w:r>
            <w:proofErr w:type="spellStart"/>
            <w:r w:rsidRPr="00A46DE1">
              <w:rPr>
                <w:lang w:val="ro-RO"/>
              </w:rPr>
              <w:t>and</w:t>
            </w:r>
            <w:proofErr w:type="spellEnd"/>
            <w:r w:rsidRPr="00A46DE1">
              <w:rPr>
                <w:lang w:val="ro-RO"/>
              </w:rPr>
              <w:t xml:space="preserve"> </w:t>
            </w:r>
            <w:proofErr w:type="spellStart"/>
            <w:r w:rsidRPr="00A46DE1">
              <w:rPr>
                <w:lang w:val="ro-RO"/>
              </w:rPr>
              <w:t>Habitats</w:t>
            </w:r>
            <w:proofErr w:type="spellEnd"/>
            <w:r w:rsidRPr="00A46DE1">
              <w:rPr>
                <w:lang w:val="ro-RO"/>
              </w:rPr>
              <w:t xml:space="preserve"> </w:t>
            </w:r>
            <w:proofErr w:type="spellStart"/>
            <w:r w:rsidRPr="00A46DE1">
              <w:rPr>
                <w:lang w:val="ro-RO"/>
              </w:rPr>
              <w:t>Directives</w:t>
            </w:r>
            <w:proofErr w:type="spellEnd"/>
            <w:r w:rsidRPr="00A46DE1">
              <w:rPr>
                <w:lang w:val="ro-RO"/>
              </w:rPr>
              <w:t xml:space="preserve"> / Directivele „Păsări” și „Habitate” ale U.E. – reprezintă fundamentul legislației europene privind conservarea naturii. Aceste directive reprezintă cea mai ambițioasă și amplă inițiativă întreprinsă vreodată pentru conservarea patrimoniului natural al Europei. Obiectivul general al celor două directive este de a asigura că, speciile și tipurile de habitate protejate sunt menținute sau readuse într-o stare de conservare favorabilă în întregul lor areal natural de pe teritoriul U.E. Prin urmare, se vizează mai mult decât oprirea declinului viitor sau a dispariției acestora; scopul este de a asigura recuperarea suficientă a speciilor și habitatelor pentru a le permite să se dezvolte pe termen lung;</w:t>
            </w:r>
          </w:p>
          <w:p w14:paraId="3CACCCD8" w14:textId="77777777" w:rsidR="00A46DE1" w:rsidRPr="00A46DE1" w:rsidRDefault="00A46DE1" w:rsidP="00A46DE1">
            <w:pPr>
              <w:spacing w:after="120"/>
              <w:rPr>
                <w:lang w:val="ro-RO"/>
              </w:rPr>
            </w:pPr>
            <w:r w:rsidRPr="00A46DE1">
              <w:rPr>
                <w:lang w:val="ro-RO"/>
              </w:rPr>
              <w:t xml:space="preserve">Zero </w:t>
            </w:r>
            <w:proofErr w:type="spellStart"/>
            <w:r w:rsidRPr="00A46DE1">
              <w:rPr>
                <w:lang w:val="ro-RO"/>
              </w:rPr>
              <w:t>pollution</w:t>
            </w:r>
            <w:proofErr w:type="spellEnd"/>
            <w:r w:rsidRPr="00A46DE1">
              <w:rPr>
                <w:lang w:val="ro-RO"/>
              </w:rPr>
              <w:t xml:space="preserve"> </w:t>
            </w:r>
            <w:proofErr w:type="spellStart"/>
            <w:r w:rsidRPr="00A46DE1">
              <w:rPr>
                <w:lang w:val="ro-RO"/>
              </w:rPr>
              <w:t>action</w:t>
            </w:r>
            <w:proofErr w:type="spellEnd"/>
            <w:r w:rsidRPr="00A46DE1">
              <w:rPr>
                <w:lang w:val="ro-RO"/>
              </w:rPr>
              <w:t xml:space="preserve"> plan / Planul de acțiune pentru poluare zero – planul de acțiune urmărește ca poluarea aerului, a apei și a solului să fie redusă la niveluri care să nu mai fie considerate dăunătoare pentru sănătate și pentru ecosistemele naturale și care să respecte limitele la care planeta noastră poate face față, creând astfel un mediu fără substanțe toxice. Acest plan a fost adoptat pe 12.05.2021 și în cazul componentei apă se dorește îmbunătățirea calității acesteia prin reducerea deșeurilor, a deșeurilor de plastic din mări (50%) și a </w:t>
            </w:r>
            <w:proofErr w:type="spellStart"/>
            <w:r w:rsidRPr="00A46DE1">
              <w:rPr>
                <w:lang w:val="ro-RO"/>
              </w:rPr>
              <w:t>microplasticelor</w:t>
            </w:r>
            <w:proofErr w:type="spellEnd"/>
            <w:r w:rsidRPr="00A46DE1">
              <w:rPr>
                <w:lang w:val="ro-RO"/>
              </w:rPr>
              <w:t xml:space="preserve"> eliberate în mediul înconjurător (30%) – componenta cheie a Pactului Verde European aprobat în 2021;</w:t>
            </w:r>
          </w:p>
          <w:p w14:paraId="4C3B5DAC" w14:textId="77777777" w:rsidR="00A46DE1" w:rsidRPr="00A46DE1" w:rsidRDefault="00A46DE1" w:rsidP="00A46DE1">
            <w:pPr>
              <w:spacing w:after="120"/>
              <w:rPr>
                <w:lang w:val="ro-RO"/>
              </w:rPr>
            </w:pPr>
            <w:proofErr w:type="spellStart"/>
            <w:r w:rsidRPr="00A46DE1">
              <w:rPr>
                <w:lang w:val="ro-RO"/>
              </w:rPr>
              <w:t>Environmental</w:t>
            </w:r>
            <w:proofErr w:type="spellEnd"/>
            <w:r w:rsidRPr="00A46DE1">
              <w:rPr>
                <w:lang w:val="ro-RO"/>
              </w:rPr>
              <w:t xml:space="preserve"> </w:t>
            </w:r>
            <w:proofErr w:type="spellStart"/>
            <w:r w:rsidRPr="00A46DE1">
              <w:rPr>
                <w:lang w:val="ro-RO"/>
              </w:rPr>
              <w:t>sustainability</w:t>
            </w:r>
            <w:proofErr w:type="spellEnd"/>
            <w:r w:rsidRPr="00A46DE1">
              <w:rPr>
                <w:lang w:val="ro-RO"/>
              </w:rPr>
              <w:t xml:space="preserve"> in </w:t>
            </w:r>
            <w:proofErr w:type="spellStart"/>
            <w:r w:rsidRPr="00A46DE1">
              <w:rPr>
                <w:lang w:val="ro-RO"/>
              </w:rPr>
              <w:t>the</w:t>
            </w:r>
            <w:proofErr w:type="spellEnd"/>
            <w:r w:rsidRPr="00A46DE1">
              <w:rPr>
                <w:lang w:val="ro-RO"/>
              </w:rPr>
              <w:t xml:space="preserve"> CAP (Common </w:t>
            </w:r>
            <w:proofErr w:type="spellStart"/>
            <w:r w:rsidRPr="00A46DE1">
              <w:rPr>
                <w:lang w:val="ro-RO"/>
              </w:rPr>
              <w:t>Agricultural</w:t>
            </w:r>
            <w:proofErr w:type="spellEnd"/>
            <w:r w:rsidRPr="00A46DE1">
              <w:rPr>
                <w:lang w:val="ro-RO"/>
              </w:rPr>
              <w:t xml:space="preserve"> </w:t>
            </w:r>
            <w:proofErr w:type="spellStart"/>
            <w:r w:rsidRPr="00A46DE1">
              <w:rPr>
                <w:lang w:val="ro-RO"/>
              </w:rPr>
              <w:t>Policy</w:t>
            </w:r>
            <w:proofErr w:type="spellEnd"/>
            <w:r w:rsidRPr="00A46DE1">
              <w:rPr>
                <w:lang w:val="ro-RO"/>
              </w:rPr>
              <w:t xml:space="preserve">) / Sustenabilitatea mediului în cadrul P.A.C. (Politica Agricolă Comună) – prezintă trei obiective de mediu clare, fiecare dintre acestea fiind reluate în Pactul </w:t>
            </w:r>
            <w:r w:rsidRPr="00A46DE1">
              <w:rPr>
                <w:lang w:val="ro-RO"/>
              </w:rPr>
              <w:lastRenderedPageBreak/>
              <w:t>Verde European: combaterea schimbărilor climatice, protejarea resurselor naturale și îmbunătățirea biodiversității. În cadrul componentei apă, obiectivele urmăresc protejarea atât cantitativă, cât și calitativă a acesteia, utilizată în agricultură, prin crearea unor benzi de protecție de-a lungul cursurilor de apă, prin sprijinirea unor sisteme de irigații mai eficiente și prin consolidarea aplicării normelor în zonele vulnerabile la nitrați – reprezintă atenția de care beneficiază mediul în cadrul Politicii Agricole Comune, reflectat în 3 obiective din 9 ale CAP;</w:t>
            </w:r>
          </w:p>
          <w:p w14:paraId="1C857C35" w14:textId="77777777" w:rsidR="00A46DE1" w:rsidRPr="00A46DE1" w:rsidRDefault="00A46DE1" w:rsidP="00A46DE1">
            <w:pPr>
              <w:spacing w:after="120"/>
              <w:rPr>
                <w:lang w:val="ro-RO"/>
              </w:rPr>
            </w:pPr>
            <w:r w:rsidRPr="00A46DE1">
              <w:rPr>
                <w:lang w:val="ro-RO"/>
              </w:rPr>
              <w:t xml:space="preserve">Rural </w:t>
            </w:r>
            <w:proofErr w:type="spellStart"/>
            <w:r w:rsidRPr="00A46DE1">
              <w:rPr>
                <w:lang w:val="ro-RO"/>
              </w:rPr>
              <w:t>Development</w:t>
            </w:r>
            <w:proofErr w:type="spellEnd"/>
            <w:r w:rsidRPr="00A46DE1">
              <w:rPr>
                <w:lang w:val="ro-RO"/>
              </w:rPr>
              <w:t xml:space="preserve"> / Dezvoltare rurală – Politica Agricolă Comună (P.A.C.) susține, prin finanțare economică și acțiuni de consolidare, sustenabilitatea socială, economică și de mediu în zonele rurale. Pe parcurs sunt urmărite trei obiective importante pentru dezvoltarea zonelor rurale, precum: stimularea competitivității în sectoarele de agricultură și silvicultură; gestionarea durabilă a resurselor naturale și a acțiunilor din domeniul climei; echilibru teritorial între comunitățile rurale și asigurarea de locuri de muncă;</w:t>
            </w:r>
          </w:p>
          <w:p w14:paraId="47FAC63C" w14:textId="77777777" w:rsidR="00A46DE1" w:rsidRPr="00A46DE1" w:rsidRDefault="00A46DE1" w:rsidP="00A46DE1">
            <w:pPr>
              <w:spacing w:after="120"/>
              <w:rPr>
                <w:lang w:val="ro-RO"/>
              </w:rPr>
            </w:pPr>
            <w:proofErr w:type="spellStart"/>
            <w:r w:rsidRPr="00A46DE1">
              <w:rPr>
                <w:lang w:val="ro-RO"/>
              </w:rPr>
              <w:t>Aarhus</w:t>
            </w:r>
            <w:proofErr w:type="spellEnd"/>
            <w:r w:rsidRPr="00A46DE1">
              <w:rPr>
                <w:lang w:val="ro-RO"/>
              </w:rPr>
              <w:t xml:space="preserve"> </w:t>
            </w:r>
            <w:proofErr w:type="spellStart"/>
            <w:r w:rsidRPr="00A46DE1">
              <w:rPr>
                <w:lang w:val="ro-RO"/>
              </w:rPr>
              <w:t>Convention</w:t>
            </w:r>
            <w:proofErr w:type="spellEnd"/>
            <w:r w:rsidRPr="00A46DE1">
              <w:rPr>
                <w:lang w:val="ro-RO"/>
              </w:rPr>
              <w:t xml:space="preserve"> / Convenția de la </w:t>
            </w:r>
            <w:proofErr w:type="spellStart"/>
            <w:r w:rsidRPr="00A46DE1">
              <w:rPr>
                <w:lang w:val="ro-RO"/>
              </w:rPr>
              <w:t>Aarhus</w:t>
            </w:r>
            <w:proofErr w:type="spellEnd"/>
            <w:r w:rsidRPr="00A46DE1">
              <w:rPr>
                <w:lang w:val="ro-RO"/>
              </w:rPr>
              <w:t xml:space="preserve"> – convenția garantează accesul la informații, participarea publicului la luarea deciziilor și accesul la justiție în problemele de mediu. Publicul are dreptul să cunoască: starea mediului; politici sau măsuri care afectează mediul și asigurarea siguranței publice în cazul în care sănătatea populației este afectată de starea mediului;</w:t>
            </w:r>
          </w:p>
          <w:p w14:paraId="7A93C27C" w14:textId="77777777" w:rsidR="00A46DE1" w:rsidRPr="00A46DE1" w:rsidRDefault="00A46DE1" w:rsidP="00A46DE1">
            <w:pPr>
              <w:spacing w:after="120"/>
              <w:rPr>
                <w:lang w:val="ro-RO"/>
              </w:rPr>
            </w:pPr>
            <w:r w:rsidRPr="00A46DE1">
              <w:rPr>
                <w:lang w:val="ro-RO"/>
              </w:rPr>
              <w:t>INSPIRE Directive / Directiva INSPIRE – directiva are ca scop crearea unei infrastructuri de date spațiale ce poate fi folosită la nivelul Uniunii Europene (U.E.), în scopul politicilor de mediu și de identificare a activităților ce pot degrada calitatea mediului. Această directivă a intrat în vigoare la data de 15.05.2007 și este utilă pentru schimbul de informații între membrele U.E. și elaborarea de politici transfrontaliere;</w:t>
            </w:r>
          </w:p>
          <w:p w14:paraId="11991552" w14:textId="77777777" w:rsidR="00A46DE1" w:rsidRPr="00A46DE1" w:rsidRDefault="00A46DE1" w:rsidP="00A46DE1">
            <w:pPr>
              <w:spacing w:after="120"/>
              <w:rPr>
                <w:lang w:val="ro-RO"/>
              </w:rPr>
            </w:pPr>
            <w:r w:rsidRPr="00A46DE1">
              <w:rPr>
                <w:lang w:val="ro-RO"/>
              </w:rPr>
              <w:t>European Green Deal / Pactul Verde European – acordul urmărește transformarea U.E. într-o economie eficientă din punct de vedere al utilizării resurselor, asigurând: nici o emisie netă de gaze cu efect de seră până în 2050 și o creștere economică ce întrerupe  utilizarea resurselor - acest acord a intrat în vigoare în decembrie 2019;</w:t>
            </w:r>
          </w:p>
          <w:p w14:paraId="45F68929" w14:textId="38D3B172" w:rsidR="007A7D7B" w:rsidRPr="007A7D7B" w:rsidRDefault="00A46DE1" w:rsidP="00A46DE1">
            <w:pPr>
              <w:spacing w:after="120"/>
              <w:rPr>
                <w:bCs/>
                <w:lang w:val="ro-RO"/>
              </w:rPr>
            </w:pPr>
            <w:r w:rsidRPr="00A46DE1">
              <w:rPr>
                <w:lang w:val="ro-RO"/>
              </w:rPr>
              <w:t xml:space="preserve">New EU Forest </w:t>
            </w:r>
            <w:proofErr w:type="spellStart"/>
            <w:r w:rsidRPr="00A46DE1">
              <w:rPr>
                <w:lang w:val="ro-RO"/>
              </w:rPr>
              <w:t>Strategy</w:t>
            </w:r>
            <w:proofErr w:type="spellEnd"/>
            <w:r w:rsidRPr="00A46DE1">
              <w:rPr>
                <w:lang w:val="ro-RO"/>
              </w:rPr>
              <w:t xml:space="preserve"> for 2030 / Noua Strategie a U.E. pentru Păduri pentru 2030 – care evidențiază rolul multifuncțional al pădurilor, inclusiv în asigurarea protecției surselor de apă, a comunităților în fața dezastrelor naturale (viituri, inundații), pe lângă furnizarea de materiale, energie, alimente, medicamente, un mediu propice pentru dezvoltarea patrimoniului cultural, tradiției, inovării ș.a. Pădurile reprezintă principalul aliat natural în adaptarea comunităților umane la schimbările climatice și combaterea </w:t>
            </w:r>
            <w:r w:rsidRPr="00A46DE1">
              <w:rPr>
                <w:lang w:val="ro-RO"/>
              </w:rPr>
              <w:lastRenderedPageBreak/>
              <w:t>lor, fiind esențiale în atingerea obiectivului european de neutralitate climatică până în 2050.</w:t>
            </w:r>
          </w:p>
        </w:tc>
      </w:tr>
      <w:tr w:rsidR="007A7D7B" w:rsidRPr="007A7D7B" w14:paraId="6F555616" w14:textId="77777777" w:rsidTr="007A7D7B">
        <w:trPr>
          <w:trHeight w:val="339"/>
          <w:tblCellSpacing w:w="0" w:type="dxa"/>
        </w:trPr>
        <w:tc>
          <w:tcPr>
            <w:tcW w:w="4320" w:type="dxa"/>
            <w:gridSpan w:val="3"/>
            <w:tcMar>
              <w:top w:w="15" w:type="dxa"/>
              <w:left w:w="15" w:type="dxa"/>
              <w:bottom w:w="15" w:type="dxa"/>
              <w:right w:w="15" w:type="dxa"/>
            </w:tcMar>
          </w:tcPr>
          <w:p w14:paraId="6DAD3B9E" w14:textId="77777777" w:rsidR="007A7D7B" w:rsidRPr="007A7D7B" w:rsidRDefault="007A7D7B" w:rsidP="00E9664D">
            <w:pPr>
              <w:spacing w:after="120"/>
              <w:rPr>
                <w:bCs/>
                <w:lang w:val="ro-RO"/>
              </w:rPr>
            </w:pPr>
            <w:r w:rsidRPr="007A7D7B">
              <w:rPr>
                <w:bCs/>
                <w:lang w:val="ro-RO"/>
              </w:rPr>
              <w:lastRenderedPageBreak/>
              <w:t>5.3.1. Măsuri normative necesare transpunerii directivelor UE</w:t>
            </w:r>
          </w:p>
        </w:tc>
        <w:tc>
          <w:tcPr>
            <w:tcW w:w="5940" w:type="dxa"/>
            <w:vAlign w:val="center"/>
          </w:tcPr>
          <w:p w14:paraId="29D51A0E" w14:textId="47146118" w:rsidR="007A7D7B" w:rsidRPr="007A7D7B" w:rsidRDefault="004378FE" w:rsidP="00E9664D">
            <w:pPr>
              <w:spacing w:after="120"/>
              <w:rPr>
                <w:bCs/>
                <w:lang w:val="ro-RO"/>
              </w:rPr>
            </w:pPr>
            <w:r w:rsidRPr="007A7D7B">
              <w:rPr>
                <w:bCs/>
                <w:lang w:val="ro-RO"/>
              </w:rPr>
              <w:t xml:space="preserve">Proiectul  de  act normativ nu se  referă  la acest subiect.                                                </w:t>
            </w:r>
          </w:p>
        </w:tc>
      </w:tr>
      <w:tr w:rsidR="004378FE" w:rsidRPr="007A7D7B" w14:paraId="78025414" w14:textId="77777777" w:rsidTr="007A7D7B">
        <w:trPr>
          <w:trHeight w:val="339"/>
          <w:tblCellSpacing w:w="0" w:type="dxa"/>
        </w:trPr>
        <w:tc>
          <w:tcPr>
            <w:tcW w:w="4320" w:type="dxa"/>
            <w:gridSpan w:val="3"/>
            <w:tcMar>
              <w:top w:w="15" w:type="dxa"/>
              <w:left w:w="15" w:type="dxa"/>
              <w:bottom w:w="15" w:type="dxa"/>
              <w:right w:w="15" w:type="dxa"/>
            </w:tcMar>
          </w:tcPr>
          <w:p w14:paraId="37D48360" w14:textId="77777777" w:rsidR="004378FE" w:rsidRPr="007A7D7B" w:rsidRDefault="004378FE" w:rsidP="004378FE">
            <w:pPr>
              <w:spacing w:after="120"/>
              <w:rPr>
                <w:bCs/>
                <w:lang w:val="ro-RO"/>
              </w:rPr>
            </w:pPr>
            <w:r w:rsidRPr="007A7D7B">
              <w:rPr>
                <w:bCs/>
                <w:lang w:val="ro-RO"/>
              </w:rPr>
              <w:t>5.3.2. Măsuri normative necesare aplicării actelor legislative UE</w:t>
            </w:r>
          </w:p>
        </w:tc>
        <w:tc>
          <w:tcPr>
            <w:tcW w:w="5940" w:type="dxa"/>
            <w:vAlign w:val="center"/>
          </w:tcPr>
          <w:p w14:paraId="6EC0DD9A" w14:textId="655318FA" w:rsidR="004378FE" w:rsidRPr="007A7D7B" w:rsidRDefault="004378FE" w:rsidP="004378FE">
            <w:pPr>
              <w:spacing w:after="120"/>
              <w:rPr>
                <w:bCs/>
                <w:lang w:val="ro-RO"/>
              </w:rPr>
            </w:pPr>
            <w:r w:rsidRPr="004378FE">
              <w:rPr>
                <w:bCs/>
                <w:lang w:val="ro-RO"/>
              </w:rPr>
              <w:t>Pe lângă planurile naționale integrate, există documente strategice care abordează specific sau indirect managementul riscului la inundații și adaptarea la schimbările climatice, printre care menționăm: Strategia Națională pentru Dezvoltare Durabilă a României Orizonturi 2013–2020–2030 (2018), Strategia Națională privind Reducerea Efectelor Secetei, prevenirea și combaterea degradării terenurilor și deșertificării, pe termen scurt, mediu și lung (2008), Strategia de Dezvoltare Teritorială a României (S.D.T.R.) (2014),</w:t>
            </w:r>
            <w:r w:rsidRPr="004378FE" w:rsidDel="003917F7">
              <w:rPr>
                <w:bCs/>
                <w:lang w:val="ro-RO"/>
              </w:rPr>
              <w:t xml:space="preserve"> Strategia </w:t>
            </w:r>
            <w:r w:rsidRPr="004378FE">
              <w:rPr>
                <w:bCs/>
                <w:lang w:val="ro-RO"/>
              </w:rPr>
              <w:t>Națională de Reabilitare și Extindere a Infrastructurii de Irigații din România (2019), Strategia Națională pentru Reducerea Riscului la Dezastre 2023-2035 (S.N.R.R.D.) (document finalizat în 2022, în prezent aflat în curs de aprobare), Strategia Națională și Planul de Acțiune pentru Conservarea Biodiversității 2014–2020</w:t>
            </w:r>
            <w:r w:rsidRPr="004378FE">
              <w:rPr>
                <w:bCs/>
                <w:vertAlign w:val="superscript"/>
                <w:lang w:val="ro-RO"/>
              </w:rPr>
              <w:t xml:space="preserve"> </w:t>
            </w:r>
            <w:r w:rsidRPr="004378FE">
              <w:rPr>
                <w:bCs/>
                <w:lang w:val="ro-RO"/>
              </w:rPr>
              <w:t>(</w:t>
            </w:r>
            <w:r w:rsidRPr="004378FE">
              <w:rPr>
                <w:bCs/>
                <w:i/>
                <w:iCs/>
                <w:lang w:val="ro-RO"/>
              </w:rPr>
              <w:t>în curs de actualizare</w:t>
            </w:r>
            <w:r w:rsidRPr="004378FE">
              <w:rPr>
                <w:bCs/>
                <w:lang w:val="ro-RO"/>
              </w:rPr>
              <w:t>), Strategia Națională privind Adaptarea la Schimbările Climatice pentru perioada 2023-2030 cu perspectiva anului 2050 (S.N.A.S.C.) (</w:t>
            </w:r>
            <w:r w:rsidRPr="004378FE">
              <w:rPr>
                <w:bCs/>
                <w:i/>
                <w:iCs/>
                <w:lang w:val="ro-RO"/>
              </w:rPr>
              <w:t>în curs de aprobare</w:t>
            </w:r>
            <w:r w:rsidRPr="004378FE">
              <w:rPr>
                <w:bCs/>
                <w:lang w:val="ro-RO"/>
              </w:rPr>
              <w:t>).</w:t>
            </w:r>
          </w:p>
        </w:tc>
      </w:tr>
      <w:tr w:rsidR="007A7D7B" w:rsidRPr="007A7D7B" w14:paraId="62CE8875" w14:textId="77777777" w:rsidTr="007A7D7B">
        <w:trPr>
          <w:trHeight w:val="43"/>
          <w:tblCellSpacing w:w="0" w:type="dxa"/>
        </w:trPr>
        <w:tc>
          <w:tcPr>
            <w:tcW w:w="4320" w:type="dxa"/>
            <w:gridSpan w:val="3"/>
            <w:tcMar>
              <w:top w:w="15" w:type="dxa"/>
              <w:left w:w="15" w:type="dxa"/>
              <w:bottom w:w="15" w:type="dxa"/>
              <w:right w:w="15" w:type="dxa"/>
            </w:tcMar>
            <w:vAlign w:val="center"/>
          </w:tcPr>
          <w:p w14:paraId="0C607C47" w14:textId="77777777" w:rsidR="007A7D7B" w:rsidRPr="007A7D7B" w:rsidRDefault="007A7D7B" w:rsidP="00E9664D">
            <w:pPr>
              <w:spacing w:after="120"/>
              <w:rPr>
                <w:bCs/>
                <w:lang w:val="ro-RO"/>
              </w:rPr>
            </w:pPr>
            <w:r w:rsidRPr="007A7D7B">
              <w:rPr>
                <w:bCs/>
                <w:lang w:val="ro-RO"/>
              </w:rPr>
              <w:t xml:space="preserve">5.4. Hotărâri ale </w:t>
            </w:r>
            <w:proofErr w:type="spellStart"/>
            <w:r w:rsidRPr="007A7D7B">
              <w:rPr>
                <w:bCs/>
                <w:lang w:val="ro-RO"/>
              </w:rPr>
              <w:t>Curţii</w:t>
            </w:r>
            <w:proofErr w:type="spellEnd"/>
            <w:r w:rsidRPr="007A7D7B">
              <w:rPr>
                <w:bCs/>
                <w:lang w:val="ro-RO"/>
              </w:rPr>
              <w:t xml:space="preserve"> de </w:t>
            </w:r>
            <w:proofErr w:type="spellStart"/>
            <w:r w:rsidRPr="007A7D7B">
              <w:rPr>
                <w:bCs/>
                <w:lang w:val="ro-RO"/>
              </w:rPr>
              <w:t>Justiţie</w:t>
            </w:r>
            <w:proofErr w:type="spellEnd"/>
            <w:r w:rsidRPr="007A7D7B">
              <w:rPr>
                <w:bCs/>
                <w:lang w:val="ro-RO"/>
              </w:rPr>
              <w:t xml:space="preserve"> a Uniunii Europene</w:t>
            </w:r>
          </w:p>
        </w:tc>
        <w:tc>
          <w:tcPr>
            <w:tcW w:w="5940" w:type="dxa"/>
            <w:vAlign w:val="center"/>
          </w:tcPr>
          <w:p w14:paraId="6C8C70C1" w14:textId="77777777" w:rsidR="007A7D7B" w:rsidRPr="007A7D7B" w:rsidRDefault="007A7D7B" w:rsidP="00E9664D">
            <w:pPr>
              <w:spacing w:after="120"/>
              <w:rPr>
                <w:bCs/>
                <w:lang w:val="ro-RO"/>
              </w:rPr>
            </w:pPr>
            <w:r w:rsidRPr="007A7D7B">
              <w:rPr>
                <w:bCs/>
                <w:lang w:val="ro-RO"/>
              </w:rPr>
              <w:t xml:space="preserve">Proiectul  de  act normativ nu se  referă  la acest subiect.                                                </w:t>
            </w:r>
          </w:p>
        </w:tc>
      </w:tr>
      <w:tr w:rsidR="007A7D7B" w:rsidRPr="007A7D7B" w14:paraId="43A65F3B" w14:textId="77777777" w:rsidTr="007A7D7B">
        <w:trPr>
          <w:trHeight w:val="43"/>
          <w:tblCellSpacing w:w="0" w:type="dxa"/>
        </w:trPr>
        <w:tc>
          <w:tcPr>
            <w:tcW w:w="4320" w:type="dxa"/>
            <w:gridSpan w:val="3"/>
            <w:tcMar>
              <w:top w:w="15" w:type="dxa"/>
              <w:left w:w="15" w:type="dxa"/>
              <w:bottom w:w="15" w:type="dxa"/>
              <w:right w:w="15" w:type="dxa"/>
            </w:tcMar>
            <w:vAlign w:val="center"/>
          </w:tcPr>
          <w:p w14:paraId="2855E385" w14:textId="77777777" w:rsidR="007A7D7B" w:rsidRPr="007A7D7B" w:rsidRDefault="007A7D7B" w:rsidP="00E9664D">
            <w:pPr>
              <w:spacing w:after="120"/>
              <w:rPr>
                <w:bCs/>
                <w:lang w:val="ro-RO"/>
              </w:rPr>
            </w:pPr>
            <w:r w:rsidRPr="007A7D7B">
              <w:rPr>
                <w:bCs/>
                <w:lang w:val="ro-RO"/>
              </w:rPr>
              <w:t xml:space="preserve">5.5. Alte acte normative </w:t>
            </w:r>
            <w:proofErr w:type="spellStart"/>
            <w:r w:rsidRPr="007A7D7B">
              <w:rPr>
                <w:bCs/>
                <w:lang w:val="ro-RO"/>
              </w:rPr>
              <w:t>şi</w:t>
            </w:r>
            <w:proofErr w:type="spellEnd"/>
            <w:r w:rsidRPr="007A7D7B">
              <w:rPr>
                <w:bCs/>
                <w:lang w:val="ro-RO"/>
              </w:rPr>
              <w:t xml:space="preserve">/sau documente </w:t>
            </w:r>
            <w:proofErr w:type="spellStart"/>
            <w:r w:rsidRPr="007A7D7B">
              <w:rPr>
                <w:bCs/>
                <w:lang w:val="ro-RO"/>
              </w:rPr>
              <w:t>internaţionale</w:t>
            </w:r>
            <w:proofErr w:type="spellEnd"/>
            <w:r w:rsidRPr="007A7D7B">
              <w:rPr>
                <w:bCs/>
                <w:lang w:val="ro-RO"/>
              </w:rPr>
              <w:t xml:space="preserve"> din care decurg angajamente asumate</w:t>
            </w:r>
          </w:p>
        </w:tc>
        <w:tc>
          <w:tcPr>
            <w:tcW w:w="5940" w:type="dxa"/>
            <w:vAlign w:val="center"/>
          </w:tcPr>
          <w:p w14:paraId="02063831" w14:textId="77777777" w:rsidR="007A7D7B" w:rsidRPr="007A7D7B" w:rsidRDefault="007A7D7B" w:rsidP="00E9664D">
            <w:pPr>
              <w:spacing w:after="120"/>
              <w:rPr>
                <w:bCs/>
                <w:lang w:val="ro-RO"/>
              </w:rPr>
            </w:pPr>
            <w:r w:rsidRPr="007A7D7B">
              <w:rPr>
                <w:bCs/>
                <w:lang w:val="ro-RO"/>
              </w:rPr>
              <w:t>Proiectul  de  act normativ nu se  referă  la acest subiect.</w:t>
            </w:r>
          </w:p>
        </w:tc>
      </w:tr>
      <w:tr w:rsidR="007A7D7B" w:rsidRPr="007A7D7B" w14:paraId="5A007B3F" w14:textId="77777777" w:rsidTr="007A7D7B">
        <w:trPr>
          <w:tblCellSpacing w:w="0" w:type="dxa"/>
        </w:trPr>
        <w:tc>
          <w:tcPr>
            <w:tcW w:w="4320" w:type="dxa"/>
            <w:gridSpan w:val="3"/>
            <w:tcMar>
              <w:top w:w="15" w:type="dxa"/>
              <w:left w:w="15" w:type="dxa"/>
              <w:bottom w:w="15" w:type="dxa"/>
              <w:right w:w="15" w:type="dxa"/>
            </w:tcMar>
            <w:vAlign w:val="center"/>
          </w:tcPr>
          <w:p w14:paraId="60A03373" w14:textId="77777777" w:rsidR="007A7D7B" w:rsidRPr="007A7D7B" w:rsidRDefault="007A7D7B" w:rsidP="00E9664D">
            <w:pPr>
              <w:spacing w:after="120" w:line="276" w:lineRule="auto"/>
              <w:rPr>
                <w:bCs/>
                <w:lang w:val="ro-RO"/>
              </w:rPr>
            </w:pPr>
            <w:r w:rsidRPr="007A7D7B">
              <w:rPr>
                <w:bCs/>
                <w:lang w:val="ro-RO"/>
              </w:rPr>
              <w:t xml:space="preserve">5.6.  Alte </w:t>
            </w:r>
            <w:proofErr w:type="spellStart"/>
            <w:r w:rsidRPr="007A7D7B">
              <w:rPr>
                <w:bCs/>
                <w:lang w:val="ro-RO"/>
              </w:rPr>
              <w:t>informaţii</w:t>
            </w:r>
            <w:proofErr w:type="spellEnd"/>
          </w:p>
        </w:tc>
        <w:tc>
          <w:tcPr>
            <w:tcW w:w="5940" w:type="dxa"/>
          </w:tcPr>
          <w:p w14:paraId="1EDB3156" w14:textId="289EB089" w:rsidR="007A7D7B" w:rsidRPr="007A7D7B" w:rsidRDefault="004378FE" w:rsidP="00E9664D">
            <w:pPr>
              <w:autoSpaceDE w:val="0"/>
              <w:autoSpaceDN w:val="0"/>
              <w:adjustRightInd w:val="0"/>
              <w:rPr>
                <w:lang w:val="ro-RO"/>
              </w:rPr>
            </w:pPr>
            <w:r>
              <w:rPr>
                <w:lang w:val="ro-RO"/>
              </w:rPr>
              <w:t>Nu au fost identificate</w:t>
            </w:r>
          </w:p>
        </w:tc>
      </w:tr>
      <w:tr w:rsidR="007A7D7B" w:rsidRPr="007A7D7B" w14:paraId="770CE9C7" w14:textId="77777777" w:rsidTr="007A7D7B">
        <w:trPr>
          <w:tblCellSpacing w:w="0" w:type="dxa"/>
        </w:trPr>
        <w:tc>
          <w:tcPr>
            <w:tcW w:w="10260" w:type="dxa"/>
            <w:gridSpan w:val="4"/>
            <w:tcMar>
              <w:top w:w="15" w:type="dxa"/>
              <w:left w:w="15" w:type="dxa"/>
              <w:bottom w:w="15" w:type="dxa"/>
              <w:right w:w="15" w:type="dxa"/>
            </w:tcMar>
          </w:tcPr>
          <w:p w14:paraId="5F84F2E8" w14:textId="77777777" w:rsidR="007A7D7B" w:rsidRPr="007A7D7B" w:rsidRDefault="007A7D7B" w:rsidP="00E9664D">
            <w:pPr>
              <w:spacing w:after="120" w:line="276" w:lineRule="auto"/>
              <w:jc w:val="center"/>
              <w:rPr>
                <w:b/>
                <w:lang w:val="ro-RO"/>
              </w:rPr>
            </w:pPr>
          </w:p>
          <w:p w14:paraId="0A679204" w14:textId="77777777" w:rsidR="007A7D7B" w:rsidRPr="007A7D7B" w:rsidRDefault="007A7D7B" w:rsidP="00E9664D">
            <w:pPr>
              <w:spacing w:after="120" w:line="276" w:lineRule="auto"/>
              <w:jc w:val="center"/>
              <w:rPr>
                <w:b/>
                <w:lang w:val="ro-RO"/>
              </w:rPr>
            </w:pPr>
            <w:proofErr w:type="spellStart"/>
            <w:r w:rsidRPr="007A7D7B">
              <w:rPr>
                <w:b/>
                <w:lang w:val="ro-RO"/>
              </w:rPr>
              <w:t>Secţiunea</w:t>
            </w:r>
            <w:proofErr w:type="spellEnd"/>
            <w:r w:rsidRPr="007A7D7B">
              <w:rPr>
                <w:b/>
                <w:lang w:val="ro-RO"/>
              </w:rPr>
              <w:t xml:space="preserve"> a 6-a</w:t>
            </w:r>
          </w:p>
          <w:p w14:paraId="42594DDD" w14:textId="77777777" w:rsidR="007A7D7B" w:rsidRPr="007A7D7B" w:rsidRDefault="007A7D7B" w:rsidP="00E9664D">
            <w:pPr>
              <w:spacing w:after="120" w:line="276" w:lineRule="auto"/>
              <w:jc w:val="center"/>
              <w:rPr>
                <w:bCs/>
                <w:lang w:val="ro-RO"/>
              </w:rPr>
            </w:pPr>
            <w:r w:rsidRPr="007A7D7B">
              <w:rPr>
                <w:b/>
                <w:lang w:val="ro-RO"/>
              </w:rPr>
              <w:t>Consultările efectuate în vederea elaborării proiectului de act normativ</w:t>
            </w:r>
          </w:p>
        </w:tc>
      </w:tr>
      <w:tr w:rsidR="007A7D7B" w:rsidRPr="007A7D7B" w14:paraId="3FF83D5B" w14:textId="77777777" w:rsidTr="007A7D7B">
        <w:trPr>
          <w:trHeight w:val="932"/>
          <w:tblCellSpacing w:w="0" w:type="dxa"/>
        </w:trPr>
        <w:tc>
          <w:tcPr>
            <w:tcW w:w="4320" w:type="dxa"/>
            <w:gridSpan w:val="3"/>
            <w:tcMar>
              <w:top w:w="15" w:type="dxa"/>
              <w:left w:w="15" w:type="dxa"/>
              <w:bottom w:w="15" w:type="dxa"/>
              <w:right w:w="15" w:type="dxa"/>
            </w:tcMar>
          </w:tcPr>
          <w:p w14:paraId="457176F9" w14:textId="77777777" w:rsidR="007A7D7B" w:rsidRPr="007A7D7B" w:rsidRDefault="007A7D7B" w:rsidP="00E9664D">
            <w:pPr>
              <w:spacing w:after="120" w:line="276" w:lineRule="auto"/>
              <w:rPr>
                <w:bCs/>
                <w:lang w:val="ro-RO"/>
              </w:rPr>
            </w:pPr>
            <w:r w:rsidRPr="007A7D7B">
              <w:rPr>
                <w:bCs/>
                <w:lang w:val="ro-RO"/>
              </w:rPr>
              <w:t xml:space="preserve">6.1. </w:t>
            </w:r>
            <w:proofErr w:type="spellStart"/>
            <w:r w:rsidRPr="007A7D7B">
              <w:rPr>
                <w:bCs/>
                <w:lang w:val="ro-RO"/>
              </w:rPr>
              <w:t>Informaţii</w:t>
            </w:r>
            <w:proofErr w:type="spellEnd"/>
            <w:r w:rsidRPr="007A7D7B">
              <w:rPr>
                <w:bCs/>
                <w:lang w:val="ro-RO"/>
              </w:rPr>
              <w:t xml:space="preserve"> privind neaplicarea procedurii de participare la elaborarea actelor normative</w:t>
            </w:r>
          </w:p>
        </w:tc>
        <w:tc>
          <w:tcPr>
            <w:tcW w:w="5940" w:type="dxa"/>
          </w:tcPr>
          <w:p w14:paraId="2CEDF5B7" w14:textId="77777777" w:rsidR="007A7D7B" w:rsidRPr="007A7D7B" w:rsidRDefault="007A7D7B" w:rsidP="00E9664D">
            <w:pPr>
              <w:spacing w:after="120" w:line="276" w:lineRule="auto"/>
              <w:rPr>
                <w:bCs/>
                <w:lang w:val="ro-RO"/>
              </w:rPr>
            </w:pPr>
            <w:r w:rsidRPr="007A7D7B">
              <w:rPr>
                <w:bCs/>
                <w:lang w:val="ro-RO"/>
              </w:rPr>
              <w:t>Proiectul  de  act normativ nu se  referă  la acest subiect</w:t>
            </w:r>
          </w:p>
        </w:tc>
      </w:tr>
      <w:tr w:rsidR="007A7D7B" w:rsidRPr="007A7D7B" w14:paraId="31CB6D3A" w14:textId="77777777" w:rsidTr="007A7D7B">
        <w:trPr>
          <w:tblCellSpacing w:w="0" w:type="dxa"/>
        </w:trPr>
        <w:tc>
          <w:tcPr>
            <w:tcW w:w="4320" w:type="dxa"/>
            <w:gridSpan w:val="3"/>
            <w:tcMar>
              <w:top w:w="15" w:type="dxa"/>
              <w:left w:w="15" w:type="dxa"/>
              <w:bottom w:w="15" w:type="dxa"/>
              <w:right w:w="15" w:type="dxa"/>
            </w:tcMar>
          </w:tcPr>
          <w:p w14:paraId="315697AA" w14:textId="77777777" w:rsidR="007A7D7B" w:rsidRPr="007A7D7B" w:rsidRDefault="007A7D7B" w:rsidP="00E9664D">
            <w:pPr>
              <w:spacing w:after="120" w:line="276" w:lineRule="auto"/>
              <w:rPr>
                <w:bCs/>
                <w:lang w:val="ro-RO"/>
              </w:rPr>
            </w:pPr>
            <w:r w:rsidRPr="007A7D7B">
              <w:rPr>
                <w:bCs/>
                <w:lang w:val="ro-RO"/>
              </w:rPr>
              <w:t xml:space="preserve">6.2. </w:t>
            </w:r>
            <w:proofErr w:type="spellStart"/>
            <w:r w:rsidRPr="007A7D7B">
              <w:rPr>
                <w:bCs/>
                <w:lang w:val="ro-RO"/>
              </w:rPr>
              <w:t>Informaţii</w:t>
            </w:r>
            <w:proofErr w:type="spellEnd"/>
            <w:r w:rsidRPr="007A7D7B">
              <w:rPr>
                <w:bCs/>
                <w:lang w:val="ro-RO"/>
              </w:rPr>
              <w:t xml:space="preserve"> privind procesul de consultare cu </w:t>
            </w:r>
            <w:proofErr w:type="spellStart"/>
            <w:r w:rsidRPr="007A7D7B">
              <w:rPr>
                <w:bCs/>
                <w:lang w:val="ro-RO"/>
              </w:rPr>
              <w:t>organizaţii</w:t>
            </w:r>
            <w:proofErr w:type="spellEnd"/>
            <w:r w:rsidRPr="007A7D7B">
              <w:rPr>
                <w:bCs/>
                <w:lang w:val="ro-RO"/>
              </w:rPr>
              <w:t xml:space="preserve"> neguvernamentale, institute de cercetare </w:t>
            </w:r>
            <w:proofErr w:type="spellStart"/>
            <w:r w:rsidRPr="007A7D7B">
              <w:rPr>
                <w:bCs/>
                <w:lang w:val="ro-RO"/>
              </w:rPr>
              <w:t>şi</w:t>
            </w:r>
            <w:proofErr w:type="spellEnd"/>
            <w:r w:rsidRPr="007A7D7B">
              <w:rPr>
                <w:bCs/>
                <w:lang w:val="ro-RO"/>
              </w:rPr>
              <w:t xml:space="preserve"> alte organisme implicate</w:t>
            </w:r>
          </w:p>
        </w:tc>
        <w:tc>
          <w:tcPr>
            <w:tcW w:w="5940" w:type="dxa"/>
          </w:tcPr>
          <w:p w14:paraId="5C0F52E8" w14:textId="01066218" w:rsidR="004378FE" w:rsidRPr="004378FE" w:rsidRDefault="004378FE" w:rsidP="004378FE">
            <w:pPr>
              <w:autoSpaceDE w:val="0"/>
              <w:autoSpaceDN w:val="0"/>
              <w:adjustRightInd w:val="0"/>
              <w:rPr>
                <w:lang w:val="ro-RO"/>
              </w:rPr>
            </w:pPr>
            <w:r w:rsidRPr="004378FE">
              <w:rPr>
                <w:lang w:val="ro-RO"/>
              </w:rPr>
              <w:t>Procesul de consultare a tuturor factorilor implicați (ministere, autorități centrale și locale, etc.) a demarat prin identificarea și cuantificarea gradului de îndeplinire a măsurilor prevăzute în H</w:t>
            </w:r>
            <w:r>
              <w:rPr>
                <w:lang w:val="ro-RO"/>
              </w:rPr>
              <w:t xml:space="preserve">otărârea </w:t>
            </w:r>
            <w:r w:rsidRPr="004378FE">
              <w:rPr>
                <w:lang w:val="ro-RO"/>
              </w:rPr>
              <w:t>G</w:t>
            </w:r>
            <w:r>
              <w:rPr>
                <w:lang w:val="ro-RO"/>
              </w:rPr>
              <w:t>uvernului nr.</w:t>
            </w:r>
            <w:r w:rsidRPr="004378FE">
              <w:rPr>
                <w:lang w:val="ro-RO"/>
              </w:rPr>
              <w:t xml:space="preserve"> 846/2010</w:t>
            </w:r>
            <w:r>
              <w:rPr>
                <w:lang w:val="ro-RO"/>
              </w:rPr>
              <w:t>.</w:t>
            </w:r>
          </w:p>
          <w:p w14:paraId="52EC66D8" w14:textId="77777777" w:rsidR="004378FE" w:rsidRPr="004378FE" w:rsidRDefault="004378FE" w:rsidP="004378FE">
            <w:pPr>
              <w:autoSpaceDE w:val="0"/>
              <w:autoSpaceDN w:val="0"/>
              <w:adjustRightInd w:val="0"/>
              <w:rPr>
                <w:lang w:val="ro-RO"/>
              </w:rPr>
            </w:pPr>
            <w:r w:rsidRPr="004378FE">
              <w:rPr>
                <w:lang w:val="ro-RO"/>
              </w:rPr>
              <w:t xml:space="preserve">Elaborarea Strategiei a urmărit asigurarea concordanței depline cu viziunea, obiectivul general și obiectivele specifice, respectiv furnizarea unui document realist, actual, fundamentat tehnic și corelat cu alte documente de planificare strategice. Strategia a fost elaborată în mai multe etape distincte, derulate complementar și succesiv, care au </w:t>
            </w:r>
            <w:r w:rsidRPr="004378FE">
              <w:rPr>
                <w:lang w:val="ro-RO"/>
              </w:rPr>
              <w:lastRenderedPageBreak/>
              <w:t>urmărit să asigure calitatea, claritatea, actualitatea și utilitatea acestui demers, printre care:</w:t>
            </w:r>
          </w:p>
          <w:p w14:paraId="52326122" w14:textId="77777777" w:rsidR="004378FE" w:rsidRPr="004378FE" w:rsidRDefault="004378FE" w:rsidP="004378FE">
            <w:pPr>
              <w:numPr>
                <w:ilvl w:val="0"/>
                <w:numId w:val="25"/>
              </w:numPr>
              <w:autoSpaceDE w:val="0"/>
              <w:autoSpaceDN w:val="0"/>
              <w:adjustRightInd w:val="0"/>
              <w:rPr>
                <w:lang w:val="ro-RO"/>
              </w:rPr>
            </w:pPr>
            <w:r w:rsidRPr="004378FE">
              <w:rPr>
                <w:lang w:val="ro-RO"/>
              </w:rPr>
              <w:t xml:space="preserve">valorizarea tuturor rezultatelor analizelor / rapoartelor / livrabilelor elaborate în cadrul proiectului </w:t>
            </w:r>
            <w:r w:rsidRPr="004378FE">
              <w:rPr>
                <w:i/>
                <w:iCs/>
                <w:lang w:val="ro-RO"/>
              </w:rPr>
              <w:t>Servicii de consultanță și expertiză în vederea revizuirii și reactualizării Strategiei Naționale de Management al Riscului la Inundații pe termen mediu și lung și a Planului de implementare</w:t>
            </w:r>
            <w:r w:rsidRPr="004378FE">
              <w:rPr>
                <w:lang w:val="ro-RO"/>
              </w:rPr>
              <w:t xml:space="preserve"> în cadrul căruia Strategia a fost revizuită / dezvoltată;</w:t>
            </w:r>
          </w:p>
          <w:p w14:paraId="71C52812" w14:textId="1ECAC052" w:rsidR="004378FE" w:rsidRPr="004378FE" w:rsidRDefault="004378FE" w:rsidP="004378FE">
            <w:pPr>
              <w:numPr>
                <w:ilvl w:val="0"/>
                <w:numId w:val="25"/>
              </w:numPr>
              <w:autoSpaceDE w:val="0"/>
              <w:autoSpaceDN w:val="0"/>
              <w:adjustRightInd w:val="0"/>
              <w:rPr>
                <w:lang w:val="ro-RO"/>
              </w:rPr>
            </w:pPr>
            <w:r w:rsidRPr="004378FE">
              <w:rPr>
                <w:lang w:val="ro-RO"/>
              </w:rPr>
              <w:t xml:space="preserve">elaborarea unor obiective strategice generale, precum și a unor obiective specifice realiste, măsurabile și tangibile în orizontul de timp 2023–2035, în strânsă legătură cu obiectivele stabilite în cadrul Planurilor de management al riscului la inundații, aprobate prin </w:t>
            </w:r>
            <w:r w:rsidRPr="004378FE">
              <w:rPr>
                <w:iCs/>
                <w:lang w:val="ro-RO"/>
              </w:rPr>
              <w:t>Hotărârea Guvernului nr. 886/2023;</w:t>
            </w:r>
          </w:p>
          <w:p w14:paraId="339F28C2" w14:textId="77777777" w:rsidR="004378FE" w:rsidRPr="004378FE" w:rsidRDefault="004378FE" w:rsidP="004378FE">
            <w:pPr>
              <w:numPr>
                <w:ilvl w:val="0"/>
                <w:numId w:val="25"/>
              </w:numPr>
              <w:autoSpaceDE w:val="0"/>
              <w:autoSpaceDN w:val="0"/>
              <w:adjustRightInd w:val="0"/>
              <w:rPr>
                <w:lang w:val="ro-RO"/>
              </w:rPr>
            </w:pPr>
            <w:r w:rsidRPr="004378FE">
              <w:rPr>
                <w:lang w:val="ro-RO"/>
              </w:rPr>
              <w:t>consultarea părților interesate, cu diferite profiluri (instituții publice și private, societate civilă, factori de decizie sau entități economice), din domenii de activitate diverse; consultările au vizat dezbateri privind elaborarea Strategiei, schimbul de informații și ajustarea obiectivelor specifice în funcție de necesitățile reale identificate; obiectivele strategice stabilite în funcție de sector au fost discutate cu ministerele de resort.</w:t>
            </w:r>
          </w:p>
          <w:p w14:paraId="7BEB7BCE" w14:textId="1573CF20" w:rsidR="004378FE" w:rsidRPr="004378FE" w:rsidRDefault="004378FE" w:rsidP="004378FE">
            <w:pPr>
              <w:autoSpaceDE w:val="0"/>
              <w:autoSpaceDN w:val="0"/>
              <w:adjustRightInd w:val="0"/>
              <w:rPr>
                <w:lang w:val="ro-RO"/>
              </w:rPr>
            </w:pPr>
            <w:r w:rsidRPr="004378FE">
              <w:rPr>
                <w:lang w:val="ro-RO"/>
              </w:rPr>
              <w:t xml:space="preserve">Consultarea publică privind elaborarea primei versiuni a </w:t>
            </w:r>
            <w:r w:rsidRPr="004378FE">
              <w:rPr>
                <w:b/>
                <w:bCs/>
                <w:lang w:val="ro-RO"/>
              </w:rPr>
              <w:t xml:space="preserve">Strategiei naționale de management al riscului la inundații și a planului de implementare aferent </w:t>
            </w:r>
            <w:r w:rsidRPr="004378FE">
              <w:rPr>
                <w:lang w:val="ro-RO"/>
              </w:rPr>
              <w:t xml:space="preserve">a fost inițiată prin publicarea în ziarul ”România Liberă”, a doua anunțuri în data de </w:t>
            </w:r>
            <w:r w:rsidRPr="0039362A">
              <w:rPr>
                <w:lang w:val="ro-RO"/>
              </w:rPr>
              <w:t>15.05.2023,</w:t>
            </w:r>
            <w:r w:rsidRPr="004378FE">
              <w:rPr>
                <w:lang w:val="ro-RO"/>
              </w:rPr>
              <w:t xml:space="preserve"> respectiv 18.05.2023 prin care Documentația depusă a fost accesibilă spre consultare de către public pe toată durata derulării procedurii de reglementare la sediul Ministerului Mediului, Apelor și Pădurilor.</w:t>
            </w:r>
          </w:p>
          <w:p w14:paraId="13F98C2B" w14:textId="79BB330A" w:rsidR="004378FE" w:rsidRPr="004378FE" w:rsidRDefault="004378FE" w:rsidP="004378FE">
            <w:pPr>
              <w:autoSpaceDE w:val="0"/>
              <w:autoSpaceDN w:val="0"/>
              <w:adjustRightInd w:val="0"/>
              <w:rPr>
                <w:lang w:val="ro-RO"/>
              </w:rPr>
            </w:pPr>
            <w:r w:rsidRPr="004378FE">
              <w:rPr>
                <w:lang w:val="ro-RO"/>
              </w:rPr>
              <w:t>Au fost organizate numeroase întâlniri de lucru</w:t>
            </w:r>
            <w:r>
              <w:rPr>
                <w:lang w:val="ro-RO"/>
              </w:rPr>
              <w:t xml:space="preserve"> și</w:t>
            </w:r>
            <w:r w:rsidRPr="004378FE">
              <w:rPr>
                <w:lang w:val="ro-RO"/>
              </w:rPr>
              <w:t xml:space="preserve"> sesiuni de instruire</w:t>
            </w:r>
            <w:r>
              <w:rPr>
                <w:lang w:val="ro-RO"/>
              </w:rPr>
              <w:t>, precum</w:t>
            </w:r>
            <w:r w:rsidRPr="004378FE">
              <w:rPr>
                <w:lang w:val="ro-RO"/>
              </w:rPr>
              <w:t xml:space="preserve"> și workshop-</w:t>
            </w:r>
            <w:proofErr w:type="spellStart"/>
            <w:r w:rsidRPr="004378FE">
              <w:rPr>
                <w:lang w:val="ro-RO"/>
              </w:rPr>
              <w:t>ul</w:t>
            </w:r>
            <w:proofErr w:type="spellEnd"/>
            <w:r w:rsidRPr="004378FE">
              <w:rPr>
                <w:lang w:val="ro-RO"/>
              </w:rPr>
              <w:t xml:space="preserve"> ce a avut loc </w:t>
            </w:r>
            <w:r>
              <w:rPr>
                <w:lang w:val="ro-RO"/>
              </w:rPr>
              <w:t>î</w:t>
            </w:r>
            <w:r w:rsidRPr="004378FE">
              <w:rPr>
                <w:lang w:val="ro-RO"/>
              </w:rPr>
              <w:t xml:space="preserve">n perioada 24-26 octombrie 2023 </w:t>
            </w:r>
            <w:r>
              <w:rPr>
                <w:lang w:val="ro-RO"/>
              </w:rPr>
              <w:t>î</w:t>
            </w:r>
            <w:r w:rsidRPr="004378FE">
              <w:rPr>
                <w:lang w:val="ro-RO"/>
              </w:rPr>
              <w:t>n vederea prezentării Strategiei naționale strategiei naționale de management al riscului la inundații revizuite și a Planului de Acțiune asociat.</w:t>
            </w:r>
          </w:p>
          <w:p w14:paraId="67830AB0" w14:textId="5C77C7DC" w:rsidR="004378FE" w:rsidRPr="004378FE" w:rsidRDefault="004378FE" w:rsidP="004378FE">
            <w:pPr>
              <w:autoSpaceDE w:val="0"/>
              <w:autoSpaceDN w:val="0"/>
              <w:adjustRightInd w:val="0"/>
              <w:rPr>
                <w:lang w:val="ro-RO"/>
              </w:rPr>
            </w:pPr>
            <w:r w:rsidRPr="004378FE">
              <w:rPr>
                <w:lang w:val="ro-RO"/>
              </w:rPr>
              <w:t xml:space="preserve">În procesul de derulare a procedurii SEA au fost postate spre consultare publică- </w:t>
            </w:r>
            <w:r w:rsidRPr="004378FE">
              <w:rPr>
                <w:b/>
                <w:bCs/>
                <w:lang w:val="ro-RO"/>
              </w:rPr>
              <w:t xml:space="preserve">Strategia </w:t>
            </w:r>
            <w:r w:rsidR="00DB18C6" w:rsidRPr="004378FE">
              <w:rPr>
                <w:b/>
                <w:bCs/>
                <w:lang w:val="ro-RO"/>
              </w:rPr>
              <w:t>națională de management al riscului la inundații</w:t>
            </w:r>
            <w:r w:rsidRPr="004378FE">
              <w:rPr>
                <w:b/>
                <w:bCs/>
                <w:lang w:val="ro-RO"/>
              </w:rPr>
              <w:t xml:space="preserve"> și </w:t>
            </w:r>
            <w:r w:rsidR="00DB18C6">
              <w:rPr>
                <w:b/>
                <w:bCs/>
                <w:lang w:val="ro-RO"/>
              </w:rPr>
              <w:t>P</w:t>
            </w:r>
            <w:r w:rsidRPr="004378FE">
              <w:rPr>
                <w:b/>
                <w:bCs/>
                <w:lang w:val="ro-RO"/>
              </w:rPr>
              <w:t xml:space="preserve">lanul de acțiune asociat </w:t>
            </w:r>
            <w:r w:rsidRPr="004378FE">
              <w:rPr>
                <w:lang w:val="ro-RO"/>
              </w:rPr>
              <w:t xml:space="preserve">pe site-ul Ministerului Mediului, Apelor și Pădurilor, la secțiunea special destinată acestei proceduri, link: http://www.mmediu.ro/categorie/snmri/455. </w:t>
            </w:r>
          </w:p>
          <w:p w14:paraId="4C8BFF3C" w14:textId="67E52026" w:rsidR="007A7D7B" w:rsidRPr="007A7D7B" w:rsidRDefault="007A7D7B" w:rsidP="00E9664D">
            <w:pPr>
              <w:autoSpaceDE w:val="0"/>
              <w:autoSpaceDN w:val="0"/>
              <w:adjustRightInd w:val="0"/>
              <w:rPr>
                <w:lang w:val="ro-RO"/>
              </w:rPr>
            </w:pPr>
          </w:p>
        </w:tc>
      </w:tr>
      <w:tr w:rsidR="007A7D7B" w:rsidRPr="007A7D7B" w14:paraId="30F2E47D" w14:textId="77777777" w:rsidTr="007A7D7B">
        <w:trPr>
          <w:tblCellSpacing w:w="0" w:type="dxa"/>
        </w:trPr>
        <w:tc>
          <w:tcPr>
            <w:tcW w:w="4320" w:type="dxa"/>
            <w:gridSpan w:val="3"/>
            <w:tcMar>
              <w:top w:w="15" w:type="dxa"/>
              <w:left w:w="15" w:type="dxa"/>
              <w:bottom w:w="15" w:type="dxa"/>
              <w:right w:w="15" w:type="dxa"/>
            </w:tcMar>
          </w:tcPr>
          <w:p w14:paraId="642A0809" w14:textId="77777777" w:rsidR="007A7D7B" w:rsidRPr="007A7D7B" w:rsidRDefault="007A7D7B" w:rsidP="00E9664D">
            <w:pPr>
              <w:spacing w:after="120" w:line="276" w:lineRule="auto"/>
              <w:rPr>
                <w:bCs/>
                <w:lang w:val="ro-RO"/>
              </w:rPr>
            </w:pPr>
            <w:r w:rsidRPr="007A7D7B">
              <w:rPr>
                <w:bCs/>
                <w:lang w:val="ro-RO"/>
              </w:rPr>
              <w:lastRenderedPageBreak/>
              <w:t>6.3. Informații despre consultările organizate cu autoritățile administrației publice locale</w:t>
            </w:r>
          </w:p>
        </w:tc>
        <w:tc>
          <w:tcPr>
            <w:tcW w:w="5940" w:type="dxa"/>
          </w:tcPr>
          <w:p w14:paraId="7E11BB8C" w14:textId="724C1A4D" w:rsidR="00DB18C6" w:rsidRDefault="00DB18C6" w:rsidP="00DB18C6">
            <w:pPr>
              <w:ind w:right="69"/>
              <w:rPr>
                <w:rFonts w:eastAsia="Times New Roman"/>
                <w:bCs/>
                <w:color w:val="000000"/>
                <w:szCs w:val="24"/>
                <w:lang w:val="ro-RO"/>
              </w:rPr>
            </w:pPr>
            <w:r>
              <w:rPr>
                <w:rFonts w:eastAsia="Times New Roman"/>
                <w:bCs/>
                <w:color w:val="000000"/>
                <w:szCs w:val="24"/>
                <w:lang w:val="ro-RO"/>
              </w:rPr>
              <w:t>Proiectul de act normativ urmează să fie transmis spre consultare Asociației Municipiilor din România, Asociației Orașelor din România, Asociației Comunelor din România și Uniunii Naționale a Consiliilor Județene din România.</w:t>
            </w:r>
          </w:p>
          <w:p w14:paraId="3B83236D" w14:textId="2F342239" w:rsidR="007A7D7B" w:rsidRPr="007A7D7B" w:rsidRDefault="007A7D7B" w:rsidP="00E9664D">
            <w:pPr>
              <w:tabs>
                <w:tab w:val="left" w:pos="-540"/>
                <w:tab w:val="left" w:pos="0"/>
              </w:tabs>
              <w:spacing w:after="120" w:line="276" w:lineRule="auto"/>
              <w:rPr>
                <w:bCs/>
                <w:lang w:val="ro-RO"/>
              </w:rPr>
            </w:pPr>
          </w:p>
        </w:tc>
      </w:tr>
      <w:tr w:rsidR="007A7D7B" w:rsidRPr="007A7D7B" w14:paraId="67831697" w14:textId="77777777" w:rsidTr="007A7D7B">
        <w:trPr>
          <w:tblCellSpacing w:w="0" w:type="dxa"/>
        </w:trPr>
        <w:tc>
          <w:tcPr>
            <w:tcW w:w="4320" w:type="dxa"/>
            <w:gridSpan w:val="3"/>
            <w:tcMar>
              <w:top w:w="15" w:type="dxa"/>
              <w:left w:w="15" w:type="dxa"/>
              <w:bottom w:w="15" w:type="dxa"/>
              <w:right w:w="15" w:type="dxa"/>
            </w:tcMar>
          </w:tcPr>
          <w:p w14:paraId="71346BB8" w14:textId="77777777" w:rsidR="007A7D7B" w:rsidRPr="007A7D7B" w:rsidRDefault="007A7D7B" w:rsidP="00E9664D">
            <w:pPr>
              <w:spacing w:after="120" w:line="276" w:lineRule="auto"/>
              <w:rPr>
                <w:bCs/>
                <w:lang w:val="ro-RO"/>
              </w:rPr>
            </w:pPr>
            <w:r w:rsidRPr="007A7D7B">
              <w:rPr>
                <w:bCs/>
                <w:lang w:val="ro-RO"/>
              </w:rPr>
              <w:lastRenderedPageBreak/>
              <w:t>6.4. Informații privind puncte de vedere/opinii emise de organisme consultative constituite prin acte normative</w:t>
            </w:r>
          </w:p>
        </w:tc>
        <w:tc>
          <w:tcPr>
            <w:tcW w:w="5940" w:type="dxa"/>
          </w:tcPr>
          <w:p w14:paraId="031569A8" w14:textId="77777777" w:rsidR="007A7D7B" w:rsidRPr="007A7D7B" w:rsidRDefault="007A7D7B" w:rsidP="00E9664D">
            <w:pPr>
              <w:spacing w:after="120" w:line="276" w:lineRule="auto"/>
              <w:rPr>
                <w:bCs/>
                <w:lang w:val="ro-RO"/>
              </w:rPr>
            </w:pPr>
            <w:r w:rsidRPr="007A7D7B">
              <w:rPr>
                <w:bCs/>
                <w:lang w:val="ro-RO"/>
              </w:rPr>
              <w:t>Proiectul de act normativ nu se referă la acest subiect.</w:t>
            </w:r>
          </w:p>
        </w:tc>
      </w:tr>
      <w:tr w:rsidR="007A7D7B" w:rsidRPr="007A7D7B" w14:paraId="08E80482" w14:textId="77777777" w:rsidTr="007A7D7B">
        <w:trPr>
          <w:tblCellSpacing w:w="0" w:type="dxa"/>
        </w:trPr>
        <w:tc>
          <w:tcPr>
            <w:tcW w:w="4320" w:type="dxa"/>
            <w:gridSpan w:val="3"/>
            <w:tcMar>
              <w:top w:w="15" w:type="dxa"/>
              <w:left w:w="15" w:type="dxa"/>
              <w:bottom w:w="15" w:type="dxa"/>
              <w:right w:w="15" w:type="dxa"/>
            </w:tcMar>
          </w:tcPr>
          <w:p w14:paraId="2B06806B" w14:textId="77777777" w:rsidR="007A7D7B" w:rsidRPr="007A7D7B" w:rsidRDefault="007A7D7B" w:rsidP="00E9664D">
            <w:pPr>
              <w:spacing w:after="120" w:line="276" w:lineRule="auto"/>
              <w:rPr>
                <w:bCs/>
                <w:lang w:val="ro-RO"/>
              </w:rPr>
            </w:pPr>
            <w:r w:rsidRPr="007A7D7B">
              <w:rPr>
                <w:bCs/>
                <w:lang w:val="ro-RO"/>
              </w:rPr>
              <w:t>6.5. Informații privind avizarea de către:</w:t>
            </w:r>
          </w:p>
          <w:p w14:paraId="33794005" w14:textId="77777777" w:rsidR="007A7D7B" w:rsidRPr="007A7D7B" w:rsidRDefault="007A7D7B" w:rsidP="00E9664D">
            <w:pPr>
              <w:spacing w:line="276" w:lineRule="auto"/>
              <w:rPr>
                <w:bCs/>
                <w:lang w:val="ro-RO"/>
              </w:rPr>
            </w:pPr>
            <w:r w:rsidRPr="007A7D7B">
              <w:rPr>
                <w:bCs/>
                <w:lang w:val="ro-RO"/>
              </w:rPr>
              <w:t>a) Consiliul Legislativ</w:t>
            </w:r>
          </w:p>
          <w:p w14:paraId="4D99CDAB" w14:textId="77777777" w:rsidR="007A7D7B" w:rsidRPr="007A7D7B" w:rsidRDefault="007A7D7B" w:rsidP="00E9664D">
            <w:pPr>
              <w:spacing w:line="276" w:lineRule="auto"/>
              <w:rPr>
                <w:bCs/>
                <w:lang w:val="ro-RO"/>
              </w:rPr>
            </w:pPr>
            <w:r w:rsidRPr="007A7D7B">
              <w:rPr>
                <w:bCs/>
                <w:lang w:val="ro-RO"/>
              </w:rPr>
              <w:t xml:space="preserve">b) Consiliul Suprem de Apărare a </w:t>
            </w:r>
            <w:proofErr w:type="spellStart"/>
            <w:r w:rsidRPr="007A7D7B">
              <w:rPr>
                <w:bCs/>
                <w:lang w:val="ro-RO"/>
              </w:rPr>
              <w:t>Ţării</w:t>
            </w:r>
            <w:proofErr w:type="spellEnd"/>
          </w:p>
          <w:p w14:paraId="2073E866" w14:textId="77777777" w:rsidR="007A7D7B" w:rsidRPr="007A7D7B" w:rsidRDefault="007A7D7B" w:rsidP="00E9664D">
            <w:pPr>
              <w:spacing w:line="276" w:lineRule="auto"/>
              <w:rPr>
                <w:bCs/>
                <w:lang w:val="ro-RO"/>
              </w:rPr>
            </w:pPr>
            <w:r w:rsidRPr="007A7D7B">
              <w:rPr>
                <w:bCs/>
                <w:lang w:val="ro-RO"/>
              </w:rPr>
              <w:t xml:space="preserve">c) Consiliul Economic </w:t>
            </w:r>
            <w:proofErr w:type="spellStart"/>
            <w:r w:rsidRPr="007A7D7B">
              <w:rPr>
                <w:bCs/>
                <w:lang w:val="ro-RO"/>
              </w:rPr>
              <w:t>şi</w:t>
            </w:r>
            <w:proofErr w:type="spellEnd"/>
            <w:r w:rsidRPr="007A7D7B">
              <w:rPr>
                <w:bCs/>
                <w:lang w:val="ro-RO"/>
              </w:rPr>
              <w:t xml:space="preserve"> Social</w:t>
            </w:r>
          </w:p>
          <w:p w14:paraId="19A74B47" w14:textId="77777777" w:rsidR="007A7D7B" w:rsidRPr="007A7D7B" w:rsidRDefault="007A7D7B" w:rsidP="00E9664D">
            <w:pPr>
              <w:spacing w:line="276" w:lineRule="auto"/>
              <w:rPr>
                <w:bCs/>
                <w:lang w:val="ro-RO"/>
              </w:rPr>
            </w:pPr>
            <w:r w:rsidRPr="007A7D7B">
              <w:rPr>
                <w:bCs/>
                <w:lang w:val="ro-RO"/>
              </w:rPr>
              <w:t xml:space="preserve">d) Consiliul </w:t>
            </w:r>
            <w:proofErr w:type="spellStart"/>
            <w:r w:rsidRPr="007A7D7B">
              <w:rPr>
                <w:bCs/>
                <w:lang w:val="ro-RO"/>
              </w:rPr>
              <w:t>Concurenţei</w:t>
            </w:r>
            <w:proofErr w:type="spellEnd"/>
          </w:p>
          <w:p w14:paraId="41FF9B70" w14:textId="77777777" w:rsidR="007A7D7B" w:rsidRPr="007A7D7B" w:rsidRDefault="007A7D7B" w:rsidP="00E9664D">
            <w:pPr>
              <w:spacing w:line="276" w:lineRule="auto"/>
              <w:rPr>
                <w:bCs/>
                <w:lang w:val="ro-RO"/>
              </w:rPr>
            </w:pPr>
            <w:r w:rsidRPr="007A7D7B">
              <w:rPr>
                <w:bCs/>
                <w:lang w:val="ro-RO"/>
              </w:rPr>
              <w:t>e) Curtea de Conturi</w:t>
            </w:r>
          </w:p>
        </w:tc>
        <w:tc>
          <w:tcPr>
            <w:tcW w:w="5940" w:type="dxa"/>
            <w:tcMar>
              <w:top w:w="15" w:type="dxa"/>
              <w:left w:w="15" w:type="dxa"/>
              <w:bottom w:w="15" w:type="dxa"/>
              <w:right w:w="15" w:type="dxa"/>
            </w:tcMar>
          </w:tcPr>
          <w:p w14:paraId="05FAFDD2" w14:textId="77777777" w:rsidR="007A7D7B" w:rsidRPr="007A7D7B" w:rsidRDefault="007A7D7B" w:rsidP="00E9664D">
            <w:pPr>
              <w:spacing w:after="120" w:line="276" w:lineRule="auto"/>
              <w:rPr>
                <w:bCs/>
                <w:lang w:val="ro-RO"/>
              </w:rPr>
            </w:pPr>
            <w:r w:rsidRPr="007A7D7B">
              <w:rPr>
                <w:bCs/>
                <w:lang w:val="ro-RO"/>
              </w:rPr>
              <w:t> </w:t>
            </w:r>
            <w:r w:rsidRPr="007A7D7B">
              <w:rPr>
                <w:lang w:val="ro-RO"/>
              </w:rPr>
              <w:t>Proiectul de act normativ urmează a fi avizat de către Consiliul Legislativ</w:t>
            </w:r>
            <w:r w:rsidRPr="007A7D7B">
              <w:rPr>
                <w:bCs/>
                <w:lang w:val="ro-RO"/>
              </w:rPr>
              <w:t>.</w:t>
            </w:r>
          </w:p>
        </w:tc>
      </w:tr>
      <w:tr w:rsidR="007A7D7B" w:rsidRPr="007A7D7B" w14:paraId="54CAC76D" w14:textId="77777777" w:rsidTr="007A7D7B">
        <w:trPr>
          <w:tblCellSpacing w:w="0" w:type="dxa"/>
        </w:trPr>
        <w:tc>
          <w:tcPr>
            <w:tcW w:w="4320" w:type="dxa"/>
            <w:gridSpan w:val="3"/>
            <w:tcMar>
              <w:top w:w="15" w:type="dxa"/>
              <w:left w:w="15" w:type="dxa"/>
              <w:bottom w:w="15" w:type="dxa"/>
              <w:right w:w="15" w:type="dxa"/>
            </w:tcMar>
          </w:tcPr>
          <w:p w14:paraId="4801B0F0" w14:textId="77777777" w:rsidR="007A7D7B" w:rsidRPr="007A7D7B" w:rsidRDefault="007A7D7B" w:rsidP="00E9664D">
            <w:pPr>
              <w:spacing w:after="120" w:line="276" w:lineRule="auto"/>
              <w:rPr>
                <w:bCs/>
                <w:lang w:val="ro-RO"/>
              </w:rPr>
            </w:pPr>
            <w:r w:rsidRPr="007A7D7B">
              <w:rPr>
                <w:bCs/>
                <w:lang w:val="ro-RO"/>
              </w:rPr>
              <w:t xml:space="preserve">6.6. Alte </w:t>
            </w:r>
            <w:proofErr w:type="spellStart"/>
            <w:r w:rsidRPr="007A7D7B">
              <w:rPr>
                <w:bCs/>
                <w:lang w:val="ro-RO"/>
              </w:rPr>
              <w:t>informaţii</w:t>
            </w:r>
            <w:proofErr w:type="spellEnd"/>
            <w:r w:rsidRPr="007A7D7B">
              <w:rPr>
                <w:bCs/>
                <w:lang w:val="ro-RO"/>
              </w:rPr>
              <w:t xml:space="preserve">                                                              </w:t>
            </w:r>
          </w:p>
        </w:tc>
        <w:tc>
          <w:tcPr>
            <w:tcW w:w="5940" w:type="dxa"/>
            <w:tcMar>
              <w:top w:w="15" w:type="dxa"/>
              <w:left w:w="15" w:type="dxa"/>
              <w:bottom w:w="15" w:type="dxa"/>
              <w:right w:w="15" w:type="dxa"/>
            </w:tcMar>
          </w:tcPr>
          <w:p w14:paraId="03EDCC7F" w14:textId="77777777" w:rsidR="007A7D7B" w:rsidRPr="007A7D7B" w:rsidRDefault="007A7D7B" w:rsidP="00E9664D">
            <w:pPr>
              <w:spacing w:after="120" w:line="276" w:lineRule="auto"/>
              <w:rPr>
                <w:bCs/>
                <w:lang w:val="ro-RO"/>
              </w:rPr>
            </w:pPr>
            <w:r w:rsidRPr="007A7D7B">
              <w:rPr>
                <w:bCs/>
                <w:lang w:val="ro-RO"/>
              </w:rPr>
              <w:t xml:space="preserve">  Nu au fost identificate.</w:t>
            </w:r>
          </w:p>
        </w:tc>
      </w:tr>
      <w:tr w:rsidR="007A7D7B" w:rsidRPr="007A7D7B" w14:paraId="5918E02C" w14:textId="77777777" w:rsidTr="007A7D7B">
        <w:trPr>
          <w:tblCellSpacing w:w="0" w:type="dxa"/>
        </w:trPr>
        <w:tc>
          <w:tcPr>
            <w:tcW w:w="10260" w:type="dxa"/>
            <w:gridSpan w:val="4"/>
            <w:tcMar>
              <w:top w:w="15" w:type="dxa"/>
              <w:left w:w="15" w:type="dxa"/>
              <w:bottom w:w="15" w:type="dxa"/>
              <w:right w:w="15" w:type="dxa"/>
            </w:tcMar>
          </w:tcPr>
          <w:p w14:paraId="02518FA5" w14:textId="77777777" w:rsidR="007A7D7B" w:rsidRPr="007A7D7B" w:rsidRDefault="007A7D7B" w:rsidP="00E9664D">
            <w:pPr>
              <w:spacing w:after="120" w:line="276" w:lineRule="auto"/>
              <w:jc w:val="center"/>
              <w:rPr>
                <w:b/>
                <w:lang w:val="ro-RO"/>
              </w:rPr>
            </w:pPr>
          </w:p>
          <w:p w14:paraId="0E0067C3" w14:textId="77777777" w:rsidR="007A7D7B" w:rsidRPr="007A7D7B" w:rsidRDefault="007A7D7B" w:rsidP="00E9664D">
            <w:pPr>
              <w:spacing w:after="120" w:line="276" w:lineRule="auto"/>
              <w:jc w:val="center"/>
              <w:rPr>
                <w:b/>
                <w:lang w:val="ro-RO"/>
              </w:rPr>
            </w:pPr>
            <w:proofErr w:type="spellStart"/>
            <w:r w:rsidRPr="007A7D7B">
              <w:rPr>
                <w:b/>
                <w:lang w:val="ro-RO"/>
              </w:rPr>
              <w:t>Secţiunea</w:t>
            </w:r>
            <w:proofErr w:type="spellEnd"/>
            <w:r w:rsidRPr="007A7D7B">
              <w:rPr>
                <w:b/>
                <w:lang w:val="ro-RO"/>
              </w:rPr>
              <w:t xml:space="preserve"> a 7-a</w:t>
            </w:r>
          </w:p>
          <w:p w14:paraId="40996DDF" w14:textId="77777777" w:rsidR="007A7D7B" w:rsidRPr="007A7D7B" w:rsidRDefault="007A7D7B" w:rsidP="00E9664D">
            <w:pPr>
              <w:spacing w:after="120" w:line="276" w:lineRule="auto"/>
              <w:jc w:val="center"/>
              <w:rPr>
                <w:bCs/>
                <w:lang w:val="ro-RO"/>
              </w:rPr>
            </w:pPr>
            <w:proofErr w:type="spellStart"/>
            <w:r w:rsidRPr="007A7D7B">
              <w:rPr>
                <w:b/>
                <w:lang w:val="ro-RO"/>
              </w:rPr>
              <w:t>Activităţi</w:t>
            </w:r>
            <w:proofErr w:type="spellEnd"/>
            <w:r w:rsidRPr="007A7D7B">
              <w:rPr>
                <w:b/>
                <w:lang w:val="ro-RO"/>
              </w:rPr>
              <w:t xml:space="preserve"> de informare publică privind elaborarea si implementarea proiectului de act normativ</w:t>
            </w:r>
          </w:p>
        </w:tc>
      </w:tr>
      <w:tr w:rsidR="007A7D7B" w:rsidRPr="007A7D7B" w14:paraId="79E79724" w14:textId="77777777" w:rsidTr="007A7D7B">
        <w:trPr>
          <w:tblCellSpacing w:w="0" w:type="dxa"/>
        </w:trPr>
        <w:tc>
          <w:tcPr>
            <w:tcW w:w="4320" w:type="dxa"/>
            <w:gridSpan w:val="3"/>
            <w:tcMar>
              <w:top w:w="15" w:type="dxa"/>
              <w:left w:w="15" w:type="dxa"/>
              <w:bottom w:w="15" w:type="dxa"/>
              <w:right w:w="15" w:type="dxa"/>
            </w:tcMar>
          </w:tcPr>
          <w:p w14:paraId="2A5CE1DC" w14:textId="77777777" w:rsidR="007A7D7B" w:rsidRPr="007A7D7B" w:rsidRDefault="007A7D7B" w:rsidP="00E9664D">
            <w:pPr>
              <w:spacing w:after="120"/>
              <w:rPr>
                <w:bCs/>
                <w:lang w:val="ro-RO"/>
              </w:rPr>
            </w:pPr>
            <w:r w:rsidRPr="007A7D7B">
              <w:rPr>
                <w:bCs/>
                <w:lang w:val="ro-RO"/>
              </w:rPr>
              <w:t xml:space="preserve">7.1. Informarea </w:t>
            </w:r>
            <w:proofErr w:type="spellStart"/>
            <w:r w:rsidRPr="007A7D7B">
              <w:rPr>
                <w:bCs/>
                <w:lang w:val="ro-RO"/>
              </w:rPr>
              <w:t>societăţii</w:t>
            </w:r>
            <w:proofErr w:type="spellEnd"/>
            <w:r w:rsidRPr="007A7D7B">
              <w:rPr>
                <w:bCs/>
                <w:lang w:val="ro-RO"/>
              </w:rPr>
              <w:t xml:space="preserve"> civile cu privire la necesitatea elaborării proiectului de act normativ.</w:t>
            </w:r>
          </w:p>
        </w:tc>
        <w:tc>
          <w:tcPr>
            <w:tcW w:w="5940" w:type="dxa"/>
            <w:tcMar>
              <w:top w:w="15" w:type="dxa"/>
              <w:left w:w="15" w:type="dxa"/>
              <w:bottom w:w="15" w:type="dxa"/>
              <w:right w:w="15" w:type="dxa"/>
            </w:tcMar>
          </w:tcPr>
          <w:p w14:paraId="485181A6" w14:textId="23E8EC7B" w:rsidR="007A7D7B" w:rsidRPr="007A7D7B" w:rsidRDefault="007A7D7B" w:rsidP="00E9664D">
            <w:pPr>
              <w:spacing w:after="120"/>
              <w:rPr>
                <w:bCs/>
                <w:lang w:val="ro-RO"/>
              </w:rPr>
            </w:pPr>
            <w:r w:rsidRPr="007A7D7B">
              <w:rPr>
                <w:bCs/>
                <w:lang w:val="ro-RO"/>
              </w:rPr>
              <w:t> În elaborarea proiectului a fost îndeplinită procedura stabilită prin Legea nr.52/2003 privind transparența decizională în administrația publică, republicată, cu modificările ulterioare.</w:t>
            </w:r>
            <w:r w:rsidRPr="007A7D7B">
              <w:rPr>
                <w:lang w:val="ro-RO"/>
              </w:rPr>
              <w:t xml:space="preserve"> </w:t>
            </w:r>
          </w:p>
        </w:tc>
      </w:tr>
      <w:tr w:rsidR="007A7D7B" w:rsidRPr="007A7D7B" w14:paraId="4DBC6978" w14:textId="77777777" w:rsidTr="007A7D7B">
        <w:trPr>
          <w:tblCellSpacing w:w="0" w:type="dxa"/>
        </w:trPr>
        <w:tc>
          <w:tcPr>
            <w:tcW w:w="4320" w:type="dxa"/>
            <w:gridSpan w:val="3"/>
            <w:tcMar>
              <w:top w:w="15" w:type="dxa"/>
              <w:left w:w="15" w:type="dxa"/>
              <w:bottom w:w="15" w:type="dxa"/>
              <w:right w:w="15" w:type="dxa"/>
            </w:tcMar>
          </w:tcPr>
          <w:p w14:paraId="449E381D" w14:textId="77777777" w:rsidR="007A7D7B" w:rsidRPr="007A7D7B" w:rsidRDefault="007A7D7B" w:rsidP="00E9664D">
            <w:pPr>
              <w:spacing w:after="120"/>
              <w:rPr>
                <w:bCs/>
                <w:lang w:val="ro-RO"/>
              </w:rPr>
            </w:pPr>
            <w:r w:rsidRPr="007A7D7B">
              <w:rPr>
                <w:bCs/>
                <w:lang w:val="ro-RO"/>
              </w:rPr>
              <w:t>7.2. Informarea societății civile cu privire la eventualul impact asupra mediului în urma implementării proiectului de act normativ, precum și efectele asupra sănătății și securității cetățenilor sau diversității biologice</w:t>
            </w:r>
          </w:p>
        </w:tc>
        <w:tc>
          <w:tcPr>
            <w:tcW w:w="5940" w:type="dxa"/>
            <w:tcMar>
              <w:top w:w="15" w:type="dxa"/>
              <w:left w:w="15" w:type="dxa"/>
              <w:bottom w:w="15" w:type="dxa"/>
              <w:right w:w="15" w:type="dxa"/>
            </w:tcMar>
          </w:tcPr>
          <w:p w14:paraId="538C586F" w14:textId="36BCD0DF" w:rsidR="00DB18C6" w:rsidRPr="00582CD9" w:rsidRDefault="007A7D7B" w:rsidP="00DB18C6">
            <w:pPr>
              <w:spacing w:after="23"/>
              <w:ind w:right="64"/>
              <w:rPr>
                <w:rFonts w:eastAsia="Times New Roman"/>
                <w:bCs/>
                <w:color w:val="00B050"/>
                <w:szCs w:val="24"/>
                <w:lang w:val="ro-RO"/>
              </w:rPr>
            </w:pPr>
            <w:r w:rsidRPr="007A7D7B">
              <w:rPr>
                <w:bCs/>
                <w:lang w:val="ro-RO"/>
              </w:rPr>
              <w:t> </w:t>
            </w:r>
            <w:r w:rsidR="00D762B7" w:rsidRPr="00DD6C6D">
              <w:rPr>
                <w:rFonts w:eastAsia="Times New Roman"/>
                <w:bCs/>
                <w:szCs w:val="24"/>
                <w:lang w:val="ro-RO"/>
              </w:rPr>
              <w:t>SNMRI a parcurs procedura de evaluare de mediu, iar autoritatea competentă pentru protecția mediului a emis Decizia etapei de încadrare nr.06/06.11.2023</w:t>
            </w:r>
            <w:r w:rsidR="00DB18C6" w:rsidRPr="00DD6C6D">
              <w:rPr>
                <w:rFonts w:eastAsia="Times New Roman"/>
                <w:bCs/>
                <w:szCs w:val="24"/>
                <w:lang w:val="ro-RO"/>
              </w:rPr>
              <w:t xml:space="preserve">.    </w:t>
            </w:r>
          </w:p>
          <w:p w14:paraId="1FE36AB0" w14:textId="4A29815A" w:rsidR="007A7D7B" w:rsidRPr="007A7D7B" w:rsidRDefault="007A7D7B" w:rsidP="00E9664D">
            <w:pPr>
              <w:spacing w:after="120"/>
              <w:rPr>
                <w:bCs/>
                <w:lang w:val="ro-RO"/>
              </w:rPr>
            </w:pPr>
          </w:p>
          <w:p w14:paraId="7280AEBC" w14:textId="77777777" w:rsidR="007A7D7B" w:rsidRPr="007A7D7B" w:rsidRDefault="007A7D7B" w:rsidP="00E9664D">
            <w:pPr>
              <w:spacing w:after="120"/>
              <w:rPr>
                <w:bCs/>
                <w:lang w:val="ro-RO"/>
              </w:rPr>
            </w:pPr>
          </w:p>
        </w:tc>
      </w:tr>
      <w:tr w:rsidR="007A7D7B" w:rsidRPr="007A7D7B" w14:paraId="5B307684" w14:textId="77777777" w:rsidTr="007A7D7B">
        <w:trPr>
          <w:tblCellSpacing w:w="0" w:type="dxa"/>
        </w:trPr>
        <w:tc>
          <w:tcPr>
            <w:tcW w:w="10260" w:type="dxa"/>
            <w:gridSpan w:val="4"/>
            <w:tcMar>
              <w:top w:w="15" w:type="dxa"/>
              <w:left w:w="15" w:type="dxa"/>
              <w:bottom w:w="15" w:type="dxa"/>
              <w:right w:w="15" w:type="dxa"/>
            </w:tcMar>
          </w:tcPr>
          <w:p w14:paraId="5026EE25" w14:textId="77777777" w:rsidR="007A7D7B" w:rsidRPr="007A7D7B" w:rsidRDefault="007A7D7B" w:rsidP="00E9664D">
            <w:pPr>
              <w:spacing w:after="120" w:line="276" w:lineRule="auto"/>
              <w:jc w:val="center"/>
              <w:rPr>
                <w:b/>
                <w:lang w:val="ro-RO"/>
              </w:rPr>
            </w:pPr>
          </w:p>
          <w:p w14:paraId="008ADB36" w14:textId="77777777" w:rsidR="007A7D7B" w:rsidRPr="007A7D7B" w:rsidRDefault="007A7D7B" w:rsidP="00E9664D">
            <w:pPr>
              <w:spacing w:after="120" w:line="276" w:lineRule="auto"/>
              <w:jc w:val="center"/>
              <w:rPr>
                <w:b/>
                <w:lang w:val="ro-RO"/>
              </w:rPr>
            </w:pPr>
            <w:proofErr w:type="spellStart"/>
            <w:r w:rsidRPr="007A7D7B">
              <w:rPr>
                <w:b/>
                <w:lang w:val="ro-RO"/>
              </w:rPr>
              <w:t>Secţiunea</w:t>
            </w:r>
            <w:proofErr w:type="spellEnd"/>
            <w:r w:rsidRPr="007A7D7B">
              <w:rPr>
                <w:b/>
                <w:lang w:val="ro-RO"/>
              </w:rPr>
              <w:t xml:space="preserve"> a 8-a</w:t>
            </w:r>
          </w:p>
          <w:p w14:paraId="6A084AF5" w14:textId="77777777" w:rsidR="007A7D7B" w:rsidRPr="007A7D7B" w:rsidRDefault="007A7D7B" w:rsidP="00E9664D">
            <w:pPr>
              <w:spacing w:after="120" w:line="276" w:lineRule="auto"/>
              <w:jc w:val="center"/>
              <w:rPr>
                <w:bCs/>
                <w:lang w:val="ro-RO"/>
              </w:rPr>
            </w:pPr>
            <w:r w:rsidRPr="007A7D7B">
              <w:rPr>
                <w:b/>
                <w:lang w:val="ro-RO"/>
              </w:rPr>
              <w:t xml:space="preserve">Măsuri privind implementarea, monitorizarea </w:t>
            </w:r>
            <w:proofErr w:type="spellStart"/>
            <w:r w:rsidRPr="007A7D7B">
              <w:rPr>
                <w:b/>
                <w:lang w:val="ro-RO"/>
              </w:rPr>
              <w:t>şi</w:t>
            </w:r>
            <w:proofErr w:type="spellEnd"/>
            <w:r w:rsidRPr="007A7D7B">
              <w:rPr>
                <w:b/>
                <w:lang w:val="ro-RO"/>
              </w:rPr>
              <w:t xml:space="preserve"> evaluarea proiectului de act normativ</w:t>
            </w:r>
          </w:p>
        </w:tc>
      </w:tr>
      <w:tr w:rsidR="007A7D7B" w:rsidRPr="007A7D7B" w14:paraId="4990DD1A" w14:textId="77777777" w:rsidTr="007A7D7B">
        <w:trPr>
          <w:tblCellSpacing w:w="0" w:type="dxa"/>
        </w:trPr>
        <w:tc>
          <w:tcPr>
            <w:tcW w:w="4320" w:type="dxa"/>
            <w:gridSpan w:val="3"/>
            <w:shd w:val="clear" w:color="auto" w:fill="auto"/>
            <w:tcMar>
              <w:top w:w="15" w:type="dxa"/>
              <w:left w:w="15" w:type="dxa"/>
              <w:bottom w:w="15" w:type="dxa"/>
              <w:right w:w="15" w:type="dxa"/>
            </w:tcMar>
          </w:tcPr>
          <w:p w14:paraId="6D3F7F44" w14:textId="77777777" w:rsidR="007A7D7B" w:rsidRPr="007A7D7B" w:rsidRDefault="007A7D7B" w:rsidP="00E9664D">
            <w:pPr>
              <w:spacing w:after="120"/>
              <w:ind w:right="102"/>
              <w:rPr>
                <w:bCs/>
                <w:lang w:val="ro-RO"/>
              </w:rPr>
            </w:pPr>
            <w:r w:rsidRPr="007A7D7B">
              <w:rPr>
                <w:bCs/>
                <w:lang w:val="ro-RO"/>
              </w:rPr>
              <w:t xml:space="preserve">8.1. Măsurile de punere în aplicare a proiectului de act normativ </w:t>
            </w:r>
          </w:p>
        </w:tc>
        <w:tc>
          <w:tcPr>
            <w:tcW w:w="5940" w:type="dxa"/>
            <w:shd w:val="clear" w:color="auto" w:fill="auto"/>
            <w:tcMar>
              <w:top w:w="15" w:type="dxa"/>
              <w:left w:w="15" w:type="dxa"/>
              <w:bottom w:w="15" w:type="dxa"/>
              <w:right w:w="15" w:type="dxa"/>
            </w:tcMar>
          </w:tcPr>
          <w:p w14:paraId="38024153" w14:textId="1FC50355" w:rsidR="007A7D7B" w:rsidRPr="007A7D7B" w:rsidRDefault="007A7D7B" w:rsidP="00E9664D">
            <w:pPr>
              <w:spacing w:after="120"/>
              <w:rPr>
                <w:bCs/>
                <w:lang w:val="ro-RO"/>
              </w:rPr>
            </w:pPr>
            <w:r w:rsidRPr="007A7D7B">
              <w:rPr>
                <w:bCs/>
                <w:i/>
                <w:lang w:val="ro-RO"/>
              </w:rPr>
              <w:t xml:space="preserve">  </w:t>
            </w:r>
            <w:r w:rsidR="00DD6C6D">
              <w:rPr>
                <w:rFonts w:eastAsia="Times New Roman"/>
                <w:bCs/>
                <w:color w:val="000000"/>
                <w:szCs w:val="24"/>
              </w:rPr>
              <w:t xml:space="preserve">Sunt </w:t>
            </w:r>
            <w:proofErr w:type="spellStart"/>
            <w:r w:rsidR="00DD6C6D">
              <w:rPr>
                <w:rFonts w:eastAsia="Times New Roman"/>
                <w:bCs/>
                <w:color w:val="000000"/>
                <w:szCs w:val="24"/>
              </w:rPr>
              <w:t>prevăzute</w:t>
            </w:r>
            <w:proofErr w:type="spellEnd"/>
            <w:r w:rsidR="00DD6C6D">
              <w:rPr>
                <w:rFonts w:eastAsia="Times New Roman"/>
                <w:bCs/>
                <w:color w:val="000000"/>
                <w:szCs w:val="24"/>
              </w:rPr>
              <w:t xml:space="preserve"> </w:t>
            </w:r>
            <w:proofErr w:type="spellStart"/>
            <w:r w:rsidR="00DD6C6D" w:rsidRPr="00EF7670">
              <w:rPr>
                <w:rFonts w:eastAsia="Times New Roman"/>
                <w:bCs/>
                <w:color w:val="000000"/>
                <w:szCs w:val="24"/>
              </w:rPr>
              <w:t>în</w:t>
            </w:r>
            <w:proofErr w:type="spellEnd"/>
            <w:r w:rsidR="00DD6C6D" w:rsidRPr="00EF7670">
              <w:rPr>
                <w:rFonts w:eastAsia="Times New Roman"/>
                <w:bCs/>
                <w:color w:val="000000"/>
                <w:szCs w:val="24"/>
              </w:rPr>
              <w:t xml:space="preserve"> </w:t>
            </w:r>
            <w:proofErr w:type="spellStart"/>
            <w:r w:rsidR="00DD6C6D" w:rsidRPr="00EF7670">
              <w:rPr>
                <w:rFonts w:eastAsia="Times New Roman"/>
                <w:bCs/>
                <w:color w:val="000000"/>
                <w:szCs w:val="24"/>
              </w:rPr>
              <w:t>Planul</w:t>
            </w:r>
            <w:proofErr w:type="spellEnd"/>
            <w:r w:rsidR="00DD6C6D" w:rsidRPr="00EF7670">
              <w:rPr>
                <w:rFonts w:eastAsia="Times New Roman"/>
                <w:bCs/>
                <w:color w:val="000000"/>
                <w:szCs w:val="24"/>
              </w:rPr>
              <w:t xml:space="preserve"> de </w:t>
            </w:r>
            <w:proofErr w:type="spellStart"/>
            <w:r w:rsidR="00DD6C6D" w:rsidRPr="00EF7670">
              <w:rPr>
                <w:rFonts w:eastAsia="Times New Roman"/>
                <w:bCs/>
                <w:color w:val="000000"/>
                <w:szCs w:val="24"/>
              </w:rPr>
              <w:t>acțiune</w:t>
            </w:r>
            <w:proofErr w:type="spellEnd"/>
            <w:r w:rsidR="00DD6C6D" w:rsidRPr="00EF7670">
              <w:rPr>
                <w:rFonts w:eastAsia="Times New Roman"/>
                <w:bCs/>
                <w:color w:val="000000"/>
                <w:szCs w:val="24"/>
              </w:rPr>
              <w:t xml:space="preserve"> </w:t>
            </w:r>
            <w:proofErr w:type="spellStart"/>
            <w:r w:rsidR="00DD6C6D" w:rsidRPr="00EF7670">
              <w:rPr>
                <w:rFonts w:eastAsia="Times New Roman"/>
                <w:bCs/>
                <w:color w:val="000000"/>
                <w:szCs w:val="24"/>
              </w:rPr>
              <w:t>ce</w:t>
            </w:r>
            <w:proofErr w:type="spellEnd"/>
            <w:r w:rsidR="00DD6C6D" w:rsidRPr="00EF7670">
              <w:rPr>
                <w:rFonts w:eastAsia="Times New Roman"/>
                <w:bCs/>
                <w:color w:val="000000"/>
                <w:szCs w:val="24"/>
              </w:rPr>
              <w:t xml:space="preserve"> </w:t>
            </w:r>
            <w:proofErr w:type="spellStart"/>
            <w:r w:rsidR="00DD6C6D" w:rsidRPr="00EF7670">
              <w:rPr>
                <w:rFonts w:eastAsia="Times New Roman"/>
                <w:bCs/>
                <w:color w:val="000000"/>
                <w:szCs w:val="24"/>
              </w:rPr>
              <w:t>reprezintă</w:t>
            </w:r>
            <w:proofErr w:type="spellEnd"/>
            <w:r w:rsidR="00DD6C6D">
              <w:rPr>
                <w:rFonts w:eastAsia="Times New Roman"/>
                <w:bCs/>
                <w:color w:val="000000"/>
                <w:szCs w:val="24"/>
              </w:rPr>
              <w:t xml:space="preserve"> </w:t>
            </w:r>
            <w:proofErr w:type="spellStart"/>
            <w:r w:rsidR="00DD6C6D">
              <w:rPr>
                <w:rFonts w:eastAsia="Times New Roman"/>
                <w:bCs/>
                <w:color w:val="000000"/>
                <w:szCs w:val="24"/>
              </w:rPr>
              <w:t>parte</w:t>
            </w:r>
            <w:proofErr w:type="spellEnd"/>
            <w:r w:rsidR="00DD6C6D">
              <w:rPr>
                <w:rFonts w:eastAsia="Times New Roman"/>
                <w:bCs/>
                <w:color w:val="000000"/>
                <w:szCs w:val="24"/>
              </w:rPr>
              <w:t xml:space="preserve"> </w:t>
            </w:r>
            <w:proofErr w:type="spellStart"/>
            <w:r w:rsidR="00DD6C6D">
              <w:rPr>
                <w:rFonts w:eastAsia="Times New Roman"/>
                <w:bCs/>
                <w:color w:val="000000"/>
                <w:szCs w:val="24"/>
              </w:rPr>
              <w:t>integrantă</w:t>
            </w:r>
            <w:proofErr w:type="spellEnd"/>
            <w:r w:rsidR="00DD6C6D">
              <w:rPr>
                <w:rFonts w:eastAsia="Times New Roman"/>
                <w:bCs/>
                <w:color w:val="000000"/>
                <w:szCs w:val="24"/>
              </w:rPr>
              <w:t xml:space="preserve"> a </w:t>
            </w:r>
            <w:proofErr w:type="spellStart"/>
            <w:r w:rsidR="00DD6C6D">
              <w:rPr>
                <w:rFonts w:eastAsia="Times New Roman"/>
                <w:bCs/>
                <w:color w:val="000000"/>
                <w:szCs w:val="24"/>
              </w:rPr>
              <w:t>Hotărârii</w:t>
            </w:r>
            <w:proofErr w:type="spellEnd"/>
            <w:r w:rsidR="00DD6C6D">
              <w:rPr>
                <w:rFonts w:eastAsia="Times New Roman"/>
                <w:bCs/>
                <w:color w:val="000000"/>
                <w:szCs w:val="24"/>
              </w:rPr>
              <w:t xml:space="preserve"> de </w:t>
            </w:r>
            <w:proofErr w:type="spellStart"/>
            <w:r w:rsidR="00DD6C6D">
              <w:rPr>
                <w:rFonts w:eastAsia="Times New Roman"/>
                <w:bCs/>
                <w:color w:val="000000"/>
                <w:szCs w:val="24"/>
              </w:rPr>
              <w:t>Guvern</w:t>
            </w:r>
            <w:proofErr w:type="spellEnd"/>
            <w:r w:rsidR="00DD6C6D">
              <w:rPr>
                <w:rFonts w:eastAsia="Times New Roman"/>
                <w:bCs/>
                <w:color w:val="000000"/>
                <w:szCs w:val="24"/>
              </w:rPr>
              <w:t>.</w:t>
            </w:r>
          </w:p>
        </w:tc>
      </w:tr>
      <w:tr w:rsidR="007A7D7B" w:rsidRPr="007A7D7B" w14:paraId="1278D3CD" w14:textId="77777777" w:rsidTr="007A7D7B">
        <w:trPr>
          <w:tblCellSpacing w:w="0" w:type="dxa"/>
        </w:trPr>
        <w:tc>
          <w:tcPr>
            <w:tcW w:w="4320" w:type="dxa"/>
            <w:gridSpan w:val="3"/>
            <w:shd w:val="clear" w:color="auto" w:fill="auto"/>
            <w:tcMar>
              <w:top w:w="15" w:type="dxa"/>
              <w:left w:w="15" w:type="dxa"/>
              <w:bottom w:w="15" w:type="dxa"/>
              <w:right w:w="15" w:type="dxa"/>
            </w:tcMar>
          </w:tcPr>
          <w:p w14:paraId="557F0104" w14:textId="77777777" w:rsidR="007A7D7B" w:rsidRPr="007A7D7B" w:rsidRDefault="007A7D7B" w:rsidP="00E9664D">
            <w:pPr>
              <w:spacing w:after="120"/>
              <w:rPr>
                <w:bCs/>
                <w:lang w:val="ro-RO"/>
              </w:rPr>
            </w:pPr>
            <w:r w:rsidRPr="007A7D7B">
              <w:rPr>
                <w:bCs/>
                <w:lang w:val="ro-RO"/>
              </w:rPr>
              <w:t xml:space="preserve">8.2.  Alte </w:t>
            </w:r>
            <w:proofErr w:type="spellStart"/>
            <w:r w:rsidRPr="007A7D7B">
              <w:rPr>
                <w:bCs/>
                <w:lang w:val="ro-RO"/>
              </w:rPr>
              <w:t>informaţii</w:t>
            </w:r>
            <w:proofErr w:type="spellEnd"/>
            <w:r w:rsidRPr="007A7D7B">
              <w:rPr>
                <w:bCs/>
                <w:lang w:val="ro-RO"/>
              </w:rPr>
              <w:t xml:space="preserve"> </w:t>
            </w:r>
          </w:p>
        </w:tc>
        <w:tc>
          <w:tcPr>
            <w:tcW w:w="5940" w:type="dxa"/>
            <w:shd w:val="clear" w:color="auto" w:fill="auto"/>
            <w:tcMar>
              <w:top w:w="15" w:type="dxa"/>
              <w:left w:w="15" w:type="dxa"/>
              <w:bottom w:w="15" w:type="dxa"/>
              <w:right w:w="15" w:type="dxa"/>
            </w:tcMar>
          </w:tcPr>
          <w:p w14:paraId="0456D6BD" w14:textId="77777777" w:rsidR="007A7D7B" w:rsidRPr="007A7D7B" w:rsidRDefault="007A7D7B" w:rsidP="00E9664D">
            <w:pPr>
              <w:spacing w:after="120"/>
              <w:rPr>
                <w:bCs/>
                <w:lang w:val="ro-RO"/>
              </w:rPr>
            </w:pPr>
            <w:r w:rsidRPr="007A7D7B">
              <w:rPr>
                <w:bCs/>
                <w:lang w:val="ro-RO"/>
              </w:rPr>
              <w:t xml:space="preserve"> Nu  au fost identificate.</w:t>
            </w:r>
          </w:p>
        </w:tc>
      </w:tr>
    </w:tbl>
    <w:p w14:paraId="386BA51D" w14:textId="135AD265" w:rsidR="006C3081" w:rsidRPr="007A7D7B" w:rsidRDefault="006C3081" w:rsidP="003C354B">
      <w:pPr>
        <w:spacing w:after="160" w:line="259" w:lineRule="auto"/>
        <w:rPr>
          <w:color w:val="000000"/>
          <w:szCs w:val="24"/>
          <w:lang w:val="ro-RO"/>
        </w:rPr>
      </w:pPr>
    </w:p>
    <w:p w14:paraId="1E462F88" w14:textId="77777777" w:rsidR="006C3081" w:rsidRPr="007A7D7B" w:rsidRDefault="006C3081">
      <w:pPr>
        <w:jc w:val="left"/>
        <w:rPr>
          <w:color w:val="000000"/>
          <w:szCs w:val="24"/>
          <w:lang w:val="ro-RO"/>
        </w:rPr>
      </w:pPr>
      <w:r w:rsidRPr="007A7D7B">
        <w:rPr>
          <w:color w:val="000000"/>
          <w:szCs w:val="24"/>
          <w:lang w:val="ro-RO"/>
        </w:rPr>
        <w:br w:type="page"/>
      </w:r>
    </w:p>
    <w:p w14:paraId="5F9DBBDD" w14:textId="3ED4F136" w:rsidR="00F65CCF" w:rsidRPr="007A7D7B" w:rsidRDefault="006C3081" w:rsidP="006C3081">
      <w:pPr>
        <w:spacing w:after="160" w:line="259" w:lineRule="auto"/>
        <w:rPr>
          <w:color w:val="000000"/>
          <w:szCs w:val="24"/>
          <w:lang w:val="ro-RO"/>
        </w:rPr>
      </w:pPr>
      <w:r w:rsidRPr="007A7D7B">
        <w:rPr>
          <w:rFonts w:eastAsia="Times New Roman"/>
          <w:color w:val="000000"/>
          <w:szCs w:val="24"/>
          <w:lang w:val="ro-RO"/>
        </w:rPr>
        <w:lastRenderedPageBreak/>
        <w:t xml:space="preserve">Pentru considerentele de mai sus, am elaborat prezentul proiect de </w:t>
      </w:r>
      <w:r w:rsidR="00906654" w:rsidRPr="007A7D7B">
        <w:rPr>
          <w:b/>
          <w:bCs/>
          <w:color w:val="000000"/>
          <w:szCs w:val="24"/>
          <w:lang w:val="ro-RO"/>
        </w:rPr>
        <w:t xml:space="preserve">Hotărâre a Guvernului </w:t>
      </w:r>
      <w:r w:rsidRPr="007A7D7B">
        <w:rPr>
          <w:b/>
          <w:bCs/>
          <w:color w:val="000000"/>
          <w:szCs w:val="24"/>
          <w:lang w:val="ro-RO"/>
        </w:rPr>
        <w:t>privind</w:t>
      </w:r>
      <w:r w:rsidR="0044301F" w:rsidRPr="007A7D7B">
        <w:rPr>
          <w:b/>
          <w:bCs/>
          <w:color w:val="000000"/>
          <w:szCs w:val="24"/>
          <w:lang w:val="ro-RO"/>
        </w:rPr>
        <w:t xml:space="preserve"> actualizarea Strategiei </w:t>
      </w:r>
      <w:r w:rsidR="00BF5C32" w:rsidRPr="007A7D7B">
        <w:rPr>
          <w:b/>
          <w:bCs/>
          <w:color w:val="000000"/>
          <w:szCs w:val="24"/>
          <w:lang w:val="ro-RO"/>
        </w:rPr>
        <w:t>n</w:t>
      </w:r>
      <w:r w:rsidR="0044301F" w:rsidRPr="007A7D7B">
        <w:rPr>
          <w:b/>
          <w:bCs/>
          <w:color w:val="000000"/>
          <w:szCs w:val="24"/>
          <w:lang w:val="ro-RO"/>
        </w:rPr>
        <w:t xml:space="preserve">aționale de </w:t>
      </w:r>
      <w:r w:rsidR="00BF5C32" w:rsidRPr="007A7D7B">
        <w:rPr>
          <w:b/>
          <w:bCs/>
          <w:color w:val="000000"/>
          <w:szCs w:val="24"/>
          <w:lang w:val="ro-RO"/>
        </w:rPr>
        <w:t>m</w:t>
      </w:r>
      <w:r w:rsidR="0044301F" w:rsidRPr="007A7D7B">
        <w:rPr>
          <w:b/>
          <w:bCs/>
          <w:color w:val="000000"/>
          <w:szCs w:val="24"/>
          <w:lang w:val="ro-RO"/>
        </w:rPr>
        <w:t xml:space="preserve">anagement al </w:t>
      </w:r>
      <w:r w:rsidR="00BF5C32" w:rsidRPr="007A7D7B">
        <w:rPr>
          <w:b/>
          <w:bCs/>
          <w:color w:val="000000"/>
          <w:szCs w:val="24"/>
          <w:lang w:val="ro-RO"/>
        </w:rPr>
        <w:t>r</w:t>
      </w:r>
      <w:r w:rsidR="0044301F" w:rsidRPr="007A7D7B">
        <w:rPr>
          <w:b/>
          <w:bCs/>
          <w:color w:val="000000"/>
          <w:szCs w:val="24"/>
          <w:lang w:val="ro-RO"/>
        </w:rPr>
        <w:t xml:space="preserve">iscului la </w:t>
      </w:r>
      <w:r w:rsidR="00BF5C32" w:rsidRPr="007A7D7B">
        <w:rPr>
          <w:b/>
          <w:bCs/>
          <w:color w:val="000000"/>
          <w:szCs w:val="24"/>
          <w:lang w:val="ro-RO"/>
        </w:rPr>
        <w:t>i</w:t>
      </w:r>
      <w:r w:rsidR="0044301F" w:rsidRPr="007A7D7B">
        <w:rPr>
          <w:b/>
          <w:bCs/>
          <w:color w:val="000000"/>
          <w:szCs w:val="24"/>
          <w:lang w:val="ro-RO"/>
        </w:rPr>
        <w:t>nundații pe termen mediu și lung</w:t>
      </w:r>
      <w:r w:rsidRPr="007A7D7B">
        <w:rPr>
          <w:b/>
          <w:bCs/>
          <w:color w:val="000000"/>
          <w:szCs w:val="24"/>
          <w:lang w:val="ro-RO"/>
        </w:rPr>
        <w:t>,</w:t>
      </w:r>
      <w:r w:rsidR="0044301F" w:rsidRPr="007A7D7B">
        <w:rPr>
          <w:b/>
          <w:bCs/>
          <w:color w:val="000000"/>
          <w:szCs w:val="24"/>
          <w:lang w:val="ro-RO"/>
        </w:rPr>
        <w:t xml:space="preserve"> aprobată prin Hotărârea Guvernului nr. 846/2010</w:t>
      </w:r>
      <w:r w:rsidRPr="007A7D7B">
        <w:rPr>
          <w:b/>
          <w:bCs/>
          <w:color w:val="000000"/>
          <w:szCs w:val="24"/>
          <w:lang w:val="ro-RO"/>
        </w:rPr>
        <w:t xml:space="preserve">, </w:t>
      </w:r>
      <w:r w:rsidRPr="007A7D7B">
        <w:rPr>
          <w:color w:val="000000"/>
          <w:szCs w:val="24"/>
          <w:lang w:val="ro-RO"/>
        </w:rPr>
        <w:t xml:space="preserve">care în forma prezentată, a fost avizat de ministerele interesate </w:t>
      </w:r>
      <w:proofErr w:type="spellStart"/>
      <w:r w:rsidRPr="007A7D7B">
        <w:rPr>
          <w:color w:val="000000"/>
          <w:szCs w:val="24"/>
          <w:lang w:val="ro-RO"/>
        </w:rPr>
        <w:t>şi</w:t>
      </w:r>
      <w:proofErr w:type="spellEnd"/>
      <w:r w:rsidRPr="007A7D7B">
        <w:rPr>
          <w:color w:val="000000"/>
          <w:szCs w:val="24"/>
          <w:lang w:val="ro-RO"/>
        </w:rPr>
        <w:t xml:space="preserve"> de Consiliul Legislativ </w:t>
      </w:r>
      <w:proofErr w:type="spellStart"/>
      <w:r w:rsidRPr="007A7D7B">
        <w:rPr>
          <w:color w:val="000000"/>
          <w:szCs w:val="24"/>
          <w:lang w:val="ro-RO"/>
        </w:rPr>
        <w:t>şi</w:t>
      </w:r>
      <w:proofErr w:type="spellEnd"/>
      <w:r w:rsidRPr="007A7D7B">
        <w:rPr>
          <w:color w:val="000000"/>
          <w:szCs w:val="24"/>
          <w:lang w:val="ro-RO"/>
        </w:rPr>
        <w:t xml:space="preserve"> pe care îl supunem spre adoptare.</w:t>
      </w:r>
    </w:p>
    <w:p w14:paraId="68F70801" w14:textId="77777777" w:rsidR="006C3081" w:rsidRPr="007A7D7B" w:rsidRDefault="006C3081" w:rsidP="006C3081">
      <w:pPr>
        <w:spacing w:after="160" w:line="259" w:lineRule="auto"/>
        <w:rPr>
          <w:color w:val="000000"/>
          <w:sz w:val="2"/>
          <w:szCs w:val="2"/>
          <w:lang w:val="ro-RO"/>
        </w:rPr>
      </w:pPr>
    </w:p>
    <w:p w14:paraId="00391F83" w14:textId="659182A7" w:rsidR="00906654" w:rsidRPr="007A7D7B" w:rsidRDefault="00477B93" w:rsidP="00906654">
      <w:pPr>
        <w:spacing w:after="160" w:line="259" w:lineRule="auto"/>
        <w:jc w:val="center"/>
        <w:rPr>
          <w:b/>
          <w:bCs/>
          <w:color w:val="000000"/>
          <w:szCs w:val="24"/>
          <w:lang w:val="ro-RO"/>
        </w:rPr>
      </w:pPr>
      <w:r w:rsidRPr="007A7D7B">
        <w:rPr>
          <w:b/>
          <w:bCs/>
          <w:color w:val="000000"/>
          <w:szCs w:val="24"/>
          <w:lang w:val="ro-RO"/>
        </w:rPr>
        <w:t>MINISTRUL MEDIULUI, APELOR ȘI PĂDURILOR</w:t>
      </w:r>
    </w:p>
    <w:p w14:paraId="2A7A9A9D" w14:textId="77777777" w:rsidR="00906654" w:rsidRPr="007A7D7B" w:rsidRDefault="003C354B" w:rsidP="00F2406F">
      <w:pPr>
        <w:spacing w:after="160" w:line="259" w:lineRule="auto"/>
        <w:jc w:val="center"/>
        <w:rPr>
          <w:b/>
          <w:bCs/>
          <w:color w:val="000000"/>
          <w:szCs w:val="24"/>
          <w:lang w:val="ro-RO"/>
        </w:rPr>
      </w:pPr>
      <w:r w:rsidRPr="007A7D7B">
        <w:rPr>
          <w:b/>
          <w:bCs/>
          <w:color w:val="000000"/>
          <w:szCs w:val="24"/>
          <w:lang w:val="ro-RO"/>
        </w:rPr>
        <w:t>MIRCEA FECHET</w:t>
      </w:r>
    </w:p>
    <w:p w14:paraId="1FB574B3" w14:textId="77777777" w:rsidR="00682431" w:rsidRPr="007A7D7B" w:rsidRDefault="00682431" w:rsidP="00906654">
      <w:pPr>
        <w:jc w:val="center"/>
        <w:rPr>
          <w:rFonts w:eastAsia="Times New Roman"/>
          <w:b/>
          <w:color w:val="000000"/>
          <w:szCs w:val="24"/>
          <w:lang w:val="ro-RO"/>
        </w:rPr>
      </w:pPr>
    </w:p>
    <w:p w14:paraId="7D5AA0C2" w14:textId="77777777" w:rsidR="001A20AA" w:rsidRPr="007A7D7B" w:rsidRDefault="001A20AA" w:rsidP="00906654">
      <w:pPr>
        <w:jc w:val="center"/>
        <w:rPr>
          <w:rFonts w:eastAsia="Times New Roman"/>
          <w:b/>
          <w:color w:val="000000"/>
          <w:szCs w:val="24"/>
          <w:lang w:val="ro-RO"/>
        </w:rPr>
      </w:pPr>
    </w:p>
    <w:p w14:paraId="2F6AA182" w14:textId="15627622" w:rsidR="00906654" w:rsidRPr="007A7D7B" w:rsidRDefault="00906654" w:rsidP="00906654">
      <w:pPr>
        <w:jc w:val="center"/>
        <w:rPr>
          <w:rFonts w:eastAsia="Times New Roman"/>
          <w:b/>
          <w:color w:val="000000"/>
          <w:szCs w:val="24"/>
          <w:lang w:val="ro-RO"/>
        </w:rPr>
      </w:pPr>
      <w:r w:rsidRPr="007A7D7B">
        <w:rPr>
          <w:rFonts w:eastAsia="Times New Roman"/>
          <w:b/>
          <w:color w:val="000000"/>
          <w:szCs w:val="24"/>
          <w:lang w:val="ro-RO"/>
        </w:rPr>
        <w:t>AVIZĂM:</w:t>
      </w:r>
    </w:p>
    <w:p w14:paraId="28C2B7EB" w14:textId="77777777" w:rsidR="00906654" w:rsidRPr="007A7D7B" w:rsidRDefault="00906654" w:rsidP="00906654">
      <w:pPr>
        <w:rPr>
          <w:rFonts w:eastAsia="Times New Roman"/>
          <w:noProof/>
          <w:color w:val="000000"/>
          <w:szCs w:val="24"/>
          <w:lang w:val="ro-RO"/>
        </w:rPr>
      </w:pPr>
    </w:p>
    <w:tbl>
      <w:tblPr>
        <w:tblW w:w="5000" w:type="pct"/>
        <w:tblLook w:val="04A0" w:firstRow="1" w:lastRow="0" w:firstColumn="1" w:lastColumn="0" w:noHBand="0" w:noVBand="1"/>
      </w:tblPr>
      <w:tblGrid>
        <w:gridCol w:w="4753"/>
        <w:gridCol w:w="19"/>
        <w:gridCol w:w="4974"/>
      </w:tblGrid>
      <w:tr w:rsidR="00884FC3" w:rsidRPr="007A7D7B" w14:paraId="58182B16" w14:textId="77777777" w:rsidTr="006C3081">
        <w:tc>
          <w:tcPr>
            <w:tcW w:w="2438" w:type="pct"/>
            <w:shd w:val="clear" w:color="auto" w:fill="auto"/>
          </w:tcPr>
          <w:p w14:paraId="511674FB" w14:textId="77777777" w:rsidR="00095909" w:rsidRPr="007A7D7B" w:rsidRDefault="00095909" w:rsidP="00906654">
            <w:pPr>
              <w:tabs>
                <w:tab w:val="left" w:pos="2835"/>
              </w:tabs>
              <w:ind w:right="338"/>
              <w:rPr>
                <w:rFonts w:eastAsia="Times New Roman"/>
                <w:b/>
                <w:noProof/>
                <w:color w:val="000000"/>
                <w:szCs w:val="24"/>
                <w:lang w:val="ro-RO"/>
              </w:rPr>
            </w:pPr>
          </w:p>
          <w:p w14:paraId="6592AD61" w14:textId="77777777" w:rsidR="00095909" w:rsidRPr="007A7D7B" w:rsidRDefault="00095909" w:rsidP="00906654">
            <w:pPr>
              <w:tabs>
                <w:tab w:val="left" w:pos="2835"/>
              </w:tabs>
              <w:ind w:right="338"/>
              <w:jc w:val="center"/>
              <w:rPr>
                <w:rFonts w:eastAsia="Times New Roman"/>
                <w:b/>
                <w:noProof/>
                <w:color w:val="000000"/>
                <w:szCs w:val="24"/>
                <w:lang w:val="ro-RO"/>
              </w:rPr>
            </w:pPr>
            <w:r w:rsidRPr="007A7D7B">
              <w:rPr>
                <w:rFonts w:eastAsia="Times New Roman"/>
                <w:b/>
                <w:noProof/>
                <w:color w:val="000000"/>
                <w:szCs w:val="24"/>
                <w:lang w:val="ro-RO"/>
              </w:rPr>
              <w:t>VICEPRIM-MINISTRU</w:t>
            </w:r>
          </w:p>
          <w:p w14:paraId="4712472B" w14:textId="77777777" w:rsidR="00095909" w:rsidRPr="007A7D7B" w:rsidRDefault="00095909" w:rsidP="00906654">
            <w:pPr>
              <w:tabs>
                <w:tab w:val="left" w:pos="2835"/>
              </w:tabs>
              <w:ind w:right="338"/>
              <w:jc w:val="center"/>
              <w:rPr>
                <w:rFonts w:eastAsia="Times New Roman"/>
                <w:b/>
                <w:noProof/>
                <w:color w:val="000000"/>
                <w:szCs w:val="24"/>
                <w:lang w:val="ro-RO"/>
              </w:rPr>
            </w:pPr>
          </w:p>
          <w:p w14:paraId="25C7EDAB" w14:textId="77777777" w:rsidR="00F65CCF" w:rsidRPr="007A7D7B" w:rsidRDefault="00F65CCF" w:rsidP="00906654">
            <w:pPr>
              <w:jc w:val="center"/>
              <w:rPr>
                <w:rFonts w:eastAsia="Times New Roman"/>
                <w:b/>
                <w:noProof/>
                <w:color w:val="000000"/>
                <w:szCs w:val="24"/>
                <w:lang w:val="ro-RO"/>
              </w:rPr>
            </w:pPr>
          </w:p>
          <w:p w14:paraId="234109CD" w14:textId="55728793" w:rsidR="00095909" w:rsidRPr="007A7D7B" w:rsidRDefault="00095909" w:rsidP="00906654">
            <w:pPr>
              <w:jc w:val="center"/>
              <w:rPr>
                <w:rFonts w:eastAsia="Times New Roman"/>
                <w:b/>
                <w:noProof/>
                <w:color w:val="000000"/>
                <w:szCs w:val="24"/>
                <w:lang w:val="ro-RO"/>
              </w:rPr>
            </w:pPr>
            <w:r w:rsidRPr="007A7D7B">
              <w:rPr>
                <w:rFonts w:eastAsia="Times New Roman"/>
                <w:b/>
                <w:noProof/>
                <w:color w:val="000000"/>
                <w:szCs w:val="24"/>
                <w:lang w:val="ro-RO"/>
              </w:rPr>
              <w:t>MARIAN NEACȘU</w:t>
            </w:r>
          </w:p>
          <w:p w14:paraId="1121B466" w14:textId="05A87341" w:rsidR="00095909" w:rsidRPr="007A7D7B" w:rsidRDefault="00D56099" w:rsidP="00D56099">
            <w:pPr>
              <w:tabs>
                <w:tab w:val="left" w:pos="3675"/>
              </w:tabs>
              <w:jc w:val="left"/>
              <w:rPr>
                <w:rFonts w:eastAsia="Times New Roman"/>
                <w:b/>
                <w:noProof/>
                <w:color w:val="000000"/>
                <w:szCs w:val="24"/>
                <w:lang w:val="ro-RO"/>
              </w:rPr>
            </w:pPr>
            <w:r w:rsidRPr="007A7D7B">
              <w:rPr>
                <w:rFonts w:eastAsia="Times New Roman"/>
                <w:b/>
                <w:noProof/>
                <w:color w:val="000000"/>
                <w:szCs w:val="24"/>
                <w:lang w:val="ro-RO"/>
              </w:rPr>
              <w:tab/>
            </w:r>
          </w:p>
          <w:p w14:paraId="0B69E057" w14:textId="77777777" w:rsidR="006C3081" w:rsidRPr="007A7D7B" w:rsidRDefault="006C3081" w:rsidP="00D56099">
            <w:pPr>
              <w:tabs>
                <w:tab w:val="left" w:pos="3675"/>
              </w:tabs>
              <w:jc w:val="left"/>
              <w:rPr>
                <w:rFonts w:eastAsia="Times New Roman"/>
                <w:b/>
                <w:noProof/>
                <w:color w:val="000000"/>
                <w:szCs w:val="24"/>
                <w:lang w:val="ro-RO"/>
              </w:rPr>
            </w:pPr>
          </w:p>
          <w:p w14:paraId="55126600" w14:textId="77777777" w:rsidR="00095909" w:rsidRPr="007A7D7B" w:rsidRDefault="00095909" w:rsidP="00906654">
            <w:pPr>
              <w:jc w:val="center"/>
              <w:rPr>
                <w:rFonts w:eastAsia="Times New Roman"/>
                <w:b/>
                <w:noProof/>
                <w:color w:val="000000"/>
                <w:szCs w:val="24"/>
                <w:lang w:val="ro-RO"/>
              </w:rPr>
            </w:pPr>
          </w:p>
        </w:tc>
        <w:tc>
          <w:tcPr>
            <w:tcW w:w="2562" w:type="pct"/>
            <w:gridSpan w:val="2"/>
            <w:shd w:val="clear" w:color="auto" w:fill="auto"/>
          </w:tcPr>
          <w:p w14:paraId="3DDFE9A3" w14:textId="77777777" w:rsidR="0073758F" w:rsidRPr="007A7D7B" w:rsidRDefault="0073758F" w:rsidP="00906654">
            <w:pPr>
              <w:jc w:val="center"/>
              <w:rPr>
                <w:rFonts w:eastAsia="Times New Roman"/>
                <w:b/>
                <w:noProof/>
                <w:color w:val="000000"/>
                <w:szCs w:val="24"/>
                <w:lang w:val="ro-RO"/>
              </w:rPr>
            </w:pPr>
          </w:p>
          <w:p w14:paraId="5212F1AC" w14:textId="77777777" w:rsidR="00095909" w:rsidRPr="007A7D7B" w:rsidRDefault="00095909" w:rsidP="00906654">
            <w:pPr>
              <w:jc w:val="center"/>
              <w:rPr>
                <w:rFonts w:eastAsia="Times New Roman"/>
                <w:b/>
                <w:noProof/>
                <w:color w:val="000000"/>
                <w:szCs w:val="24"/>
                <w:lang w:val="ro-RO"/>
              </w:rPr>
            </w:pPr>
            <w:r w:rsidRPr="007A7D7B">
              <w:rPr>
                <w:rFonts w:eastAsia="Times New Roman"/>
                <w:b/>
                <w:noProof/>
                <w:color w:val="000000"/>
                <w:szCs w:val="24"/>
                <w:lang w:val="ro-RO"/>
              </w:rPr>
              <w:t>VICEPRIM-MINISTRU,</w:t>
            </w:r>
          </w:p>
          <w:p w14:paraId="3BCE3D0F" w14:textId="77777777" w:rsidR="00095909" w:rsidRPr="007A7D7B" w:rsidRDefault="00095909" w:rsidP="00906654">
            <w:pPr>
              <w:jc w:val="center"/>
              <w:rPr>
                <w:rFonts w:eastAsia="Times New Roman"/>
                <w:b/>
                <w:noProof/>
                <w:color w:val="000000"/>
                <w:szCs w:val="24"/>
                <w:lang w:val="ro-RO"/>
              </w:rPr>
            </w:pPr>
            <w:r w:rsidRPr="007A7D7B">
              <w:rPr>
                <w:rFonts w:eastAsia="Times New Roman"/>
                <w:b/>
                <w:noProof/>
                <w:color w:val="000000"/>
                <w:szCs w:val="24"/>
                <w:lang w:val="ro-RO"/>
              </w:rPr>
              <w:t>MINISTRUL AFACERILOR INTERNE</w:t>
            </w:r>
          </w:p>
          <w:p w14:paraId="72093FAA" w14:textId="77777777" w:rsidR="00095909" w:rsidRPr="007A7D7B" w:rsidRDefault="00095909" w:rsidP="00906654">
            <w:pPr>
              <w:jc w:val="center"/>
              <w:rPr>
                <w:rFonts w:eastAsia="Times New Roman"/>
                <w:b/>
                <w:noProof/>
                <w:color w:val="000000"/>
                <w:szCs w:val="24"/>
                <w:lang w:val="ro-RO"/>
              </w:rPr>
            </w:pPr>
          </w:p>
          <w:p w14:paraId="67DC4714" w14:textId="77777777" w:rsidR="00095909" w:rsidRPr="007A7D7B" w:rsidRDefault="00095909" w:rsidP="00906654">
            <w:pPr>
              <w:jc w:val="center"/>
              <w:rPr>
                <w:rFonts w:eastAsia="Times New Roman"/>
                <w:b/>
                <w:noProof/>
                <w:color w:val="000000"/>
                <w:szCs w:val="24"/>
                <w:lang w:val="ro-RO"/>
              </w:rPr>
            </w:pPr>
            <w:r w:rsidRPr="007A7D7B">
              <w:rPr>
                <w:rFonts w:eastAsia="Times New Roman"/>
                <w:b/>
                <w:noProof/>
                <w:color w:val="000000"/>
                <w:szCs w:val="24"/>
                <w:lang w:val="ro-RO"/>
              </w:rPr>
              <w:t>MARIAN-CĂTĂLIN PREDOIU</w:t>
            </w:r>
          </w:p>
          <w:p w14:paraId="089FC0E1" w14:textId="2A5A30D3" w:rsidR="00095909" w:rsidRPr="007A7D7B" w:rsidRDefault="00D56099" w:rsidP="00D56099">
            <w:pPr>
              <w:tabs>
                <w:tab w:val="left" w:pos="1305"/>
                <w:tab w:val="left" w:pos="2835"/>
              </w:tabs>
              <w:ind w:right="338"/>
              <w:rPr>
                <w:rFonts w:eastAsia="Times New Roman"/>
                <w:b/>
                <w:noProof/>
                <w:color w:val="000000"/>
                <w:szCs w:val="24"/>
                <w:lang w:val="ro-RO"/>
              </w:rPr>
            </w:pPr>
            <w:r w:rsidRPr="007A7D7B">
              <w:rPr>
                <w:rFonts w:eastAsia="Times New Roman"/>
                <w:b/>
                <w:noProof/>
                <w:color w:val="000000"/>
                <w:szCs w:val="24"/>
                <w:lang w:val="ro-RO"/>
              </w:rPr>
              <w:tab/>
            </w:r>
          </w:p>
          <w:p w14:paraId="73B73FD1" w14:textId="77777777" w:rsidR="00095909" w:rsidRPr="007A7D7B" w:rsidRDefault="00095909" w:rsidP="00906654">
            <w:pPr>
              <w:tabs>
                <w:tab w:val="left" w:pos="2835"/>
              </w:tabs>
              <w:ind w:right="338"/>
              <w:jc w:val="center"/>
              <w:rPr>
                <w:rFonts w:eastAsia="Times New Roman"/>
                <w:b/>
                <w:noProof/>
                <w:color w:val="000000"/>
                <w:szCs w:val="24"/>
                <w:lang w:val="ro-RO"/>
              </w:rPr>
            </w:pPr>
          </w:p>
        </w:tc>
      </w:tr>
      <w:tr w:rsidR="006C3081" w:rsidRPr="007A7D7B" w14:paraId="12C490D7" w14:textId="77777777" w:rsidTr="006C3081">
        <w:tc>
          <w:tcPr>
            <w:tcW w:w="2438" w:type="pct"/>
            <w:shd w:val="clear" w:color="auto" w:fill="auto"/>
          </w:tcPr>
          <w:p w14:paraId="4B0B61F0"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 xml:space="preserve">SECRETARUL GENERAL AL </w:t>
            </w:r>
          </w:p>
          <w:p w14:paraId="1138FCE4"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GUVERNULUI</w:t>
            </w:r>
          </w:p>
          <w:p w14:paraId="0DAEAF0F" w14:textId="77777777" w:rsidR="006C3081" w:rsidRPr="007A7D7B" w:rsidRDefault="006C3081" w:rsidP="006C3081">
            <w:pPr>
              <w:jc w:val="center"/>
              <w:rPr>
                <w:rFonts w:eastAsia="Times New Roman"/>
                <w:b/>
                <w:noProof/>
                <w:color w:val="000000"/>
                <w:szCs w:val="24"/>
                <w:lang w:val="ro-RO"/>
              </w:rPr>
            </w:pPr>
          </w:p>
          <w:p w14:paraId="25838E10"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MIRCEA ABRUDEAN</w:t>
            </w:r>
          </w:p>
          <w:p w14:paraId="36923737" w14:textId="77777777" w:rsidR="006C3081" w:rsidRPr="007A7D7B" w:rsidRDefault="006C3081" w:rsidP="006C3081">
            <w:pPr>
              <w:jc w:val="center"/>
              <w:rPr>
                <w:rFonts w:eastAsia="Times New Roman"/>
                <w:b/>
                <w:noProof/>
                <w:color w:val="000000"/>
                <w:szCs w:val="24"/>
                <w:lang w:val="ro-RO"/>
              </w:rPr>
            </w:pPr>
          </w:p>
          <w:p w14:paraId="7DEA3B28" w14:textId="7C8EE7AC" w:rsidR="006C3081" w:rsidRPr="007A7D7B" w:rsidRDefault="006C3081" w:rsidP="006C3081">
            <w:pPr>
              <w:jc w:val="center"/>
              <w:rPr>
                <w:rFonts w:eastAsia="Times New Roman"/>
                <w:b/>
                <w:noProof/>
                <w:color w:val="000000"/>
                <w:szCs w:val="24"/>
                <w:lang w:val="ro-RO"/>
              </w:rPr>
            </w:pPr>
          </w:p>
        </w:tc>
        <w:tc>
          <w:tcPr>
            <w:tcW w:w="2562" w:type="pct"/>
            <w:gridSpan w:val="2"/>
            <w:shd w:val="clear" w:color="auto" w:fill="auto"/>
          </w:tcPr>
          <w:p w14:paraId="111ED387"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MINISTRUL TRANSPORTURILOR ȘI INFRASTRUCTURII</w:t>
            </w:r>
          </w:p>
          <w:p w14:paraId="66A594C4" w14:textId="77777777" w:rsidR="006C3081" w:rsidRPr="007A7D7B" w:rsidRDefault="006C3081" w:rsidP="006C3081">
            <w:pPr>
              <w:jc w:val="center"/>
              <w:rPr>
                <w:rFonts w:eastAsia="Times New Roman"/>
                <w:b/>
                <w:noProof/>
                <w:color w:val="000000"/>
                <w:szCs w:val="24"/>
                <w:lang w:val="ro-RO"/>
              </w:rPr>
            </w:pPr>
          </w:p>
          <w:p w14:paraId="79492247" w14:textId="115AB9DB"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SORIN-MIHAI GRINDEANU</w:t>
            </w:r>
          </w:p>
          <w:p w14:paraId="1DEC7155" w14:textId="77777777" w:rsidR="006C3081" w:rsidRPr="007A7D7B" w:rsidRDefault="006C3081" w:rsidP="006C3081">
            <w:pPr>
              <w:jc w:val="center"/>
              <w:rPr>
                <w:rFonts w:eastAsia="Times New Roman"/>
                <w:b/>
                <w:noProof/>
                <w:color w:val="000000"/>
                <w:szCs w:val="24"/>
                <w:lang w:val="ro-RO"/>
              </w:rPr>
            </w:pPr>
          </w:p>
        </w:tc>
      </w:tr>
      <w:tr w:rsidR="00884FC3" w:rsidRPr="007A7D7B" w14:paraId="1B731C14" w14:textId="77777777" w:rsidTr="006C3081">
        <w:tc>
          <w:tcPr>
            <w:tcW w:w="2438" w:type="pct"/>
            <w:shd w:val="clear" w:color="auto" w:fill="auto"/>
          </w:tcPr>
          <w:p w14:paraId="28722B86" w14:textId="77777777" w:rsidR="00095909" w:rsidRPr="007A7D7B" w:rsidRDefault="00095909" w:rsidP="00906654">
            <w:pPr>
              <w:jc w:val="center"/>
              <w:rPr>
                <w:rFonts w:eastAsia="Times New Roman"/>
                <w:b/>
                <w:noProof/>
                <w:color w:val="000000"/>
                <w:szCs w:val="24"/>
                <w:lang w:val="ro-RO"/>
              </w:rPr>
            </w:pPr>
          </w:p>
          <w:p w14:paraId="3EFC692E" w14:textId="77777777" w:rsidR="00F17729" w:rsidRPr="007A7D7B" w:rsidRDefault="00F17729" w:rsidP="00F17729">
            <w:pPr>
              <w:jc w:val="center"/>
              <w:rPr>
                <w:rFonts w:eastAsia="Times New Roman"/>
                <w:b/>
                <w:noProof/>
                <w:color w:val="000000"/>
                <w:szCs w:val="24"/>
                <w:lang w:val="ro-RO"/>
              </w:rPr>
            </w:pPr>
            <w:r w:rsidRPr="007A7D7B">
              <w:rPr>
                <w:rFonts w:eastAsia="Times New Roman"/>
                <w:b/>
                <w:noProof/>
                <w:color w:val="000000"/>
                <w:szCs w:val="24"/>
                <w:lang w:val="ro-RO"/>
              </w:rPr>
              <w:t>MINISTRUL DEZVOLTĂRII, LUCRĂRILOR PUBLICE ȘI ADMINISTRAȚIEI</w:t>
            </w:r>
          </w:p>
          <w:p w14:paraId="745BD7B5" w14:textId="77777777" w:rsidR="00F17729" w:rsidRPr="007A7D7B" w:rsidRDefault="00F17729" w:rsidP="00F17729">
            <w:pPr>
              <w:jc w:val="center"/>
              <w:rPr>
                <w:rFonts w:eastAsia="Times New Roman"/>
                <w:b/>
                <w:noProof/>
                <w:color w:val="000000"/>
                <w:szCs w:val="24"/>
                <w:lang w:val="ro-RO"/>
              </w:rPr>
            </w:pPr>
          </w:p>
          <w:p w14:paraId="026F3E55" w14:textId="61841624" w:rsidR="00F17729" w:rsidRPr="007A7D7B" w:rsidRDefault="00F17729" w:rsidP="00F17729">
            <w:pPr>
              <w:jc w:val="center"/>
              <w:rPr>
                <w:rFonts w:eastAsia="Times New Roman"/>
                <w:b/>
                <w:noProof/>
                <w:color w:val="000000"/>
                <w:szCs w:val="24"/>
                <w:lang w:val="ro-RO"/>
              </w:rPr>
            </w:pPr>
            <w:r w:rsidRPr="007A7D7B">
              <w:rPr>
                <w:rFonts w:eastAsia="Times New Roman"/>
                <w:b/>
                <w:noProof/>
                <w:color w:val="000000"/>
                <w:szCs w:val="24"/>
                <w:lang w:val="ro-RO"/>
              </w:rPr>
              <w:t>ADRIAN</w:t>
            </w:r>
            <w:r w:rsidR="006C3081" w:rsidRPr="007A7D7B">
              <w:rPr>
                <w:rFonts w:eastAsia="Times New Roman"/>
                <w:b/>
                <w:noProof/>
                <w:color w:val="000000"/>
                <w:szCs w:val="24"/>
                <w:lang w:val="ro-RO"/>
              </w:rPr>
              <w:t>-</w:t>
            </w:r>
            <w:r w:rsidRPr="007A7D7B">
              <w:rPr>
                <w:rFonts w:eastAsia="Times New Roman"/>
                <w:b/>
                <w:noProof/>
                <w:color w:val="000000"/>
                <w:szCs w:val="24"/>
                <w:lang w:val="ro-RO"/>
              </w:rPr>
              <w:t>IOAN VEȘTEA</w:t>
            </w:r>
          </w:p>
          <w:p w14:paraId="06E71592" w14:textId="77777777" w:rsidR="00095909" w:rsidRPr="007A7D7B" w:rsidRDefault="00095909" w:rsidP="00F17729">
            <w:pPr>
              <w:jc w:val="center"/>
              <w:rPr>
                <w:rFonts w:eastAsia="Times New Roman"/>
                <w:b/>
                <w:noProof/>
                <w:color w:val="000000"/>
                <w:szCs w:val="24"/>
                <w:lang w:val="ro-RO"/>
              </w:rPr>
            </w:pPr>
          </w:p>
          <w:p w14:paraId="4A0615B6" w14:textId="77777777" w:rsidR="006C3081" w:rsidRPr="007A7D7B" w:rsidRDefault="006C3081" w:rsidP="00F17729">
            <w:pPr>
              <w:jc w:val="center"/>
              <w:rPr>
                <w:rFonts w:eastAsia="Times New Roman"/>
                <w:b/>
                <w:noProof/>
                <w:color w:val="000000"/>
                <w:szCs w:val="24"/>
                <w:lang w:val="ro-RO"/>
              </w:rPr>
            </w:pPr>
          </w:p>
          <w:p w14:paraId="00B6F4DC" w14:textId="77777777" w:rsidR="006C3081" w:rsidRPr="007A7D7B" w:rsidRDefault="006C3081" w:rsidP="00F17729">
            <w:pPr>
              <w:jc w:val="center"/>
              <w:rPr>
                <w:rFonts w:eastAsia="Times New Roman"/>
                <w:b/>
                <w:noProof/>
                <w:color w:val="000000"/>
                <w:szCs w:val="24"/>
                <w:lang w:val="ro-RO"/>
              </w:rPr>
            </w:pPr>
          </w:p>
        </w:tc>
        <w:tc>
          <w:tcPr>
            <w:tcW w:w="2562" w:type="pct"/>
            <w:gridSpan w:val="2"/>
            <w:shd w:val="clear" w:color="auto" w:fill="auto"/>
          </w:tcPr>
          <w:p w14:paraId="05DC5553" w14:textId="77777777" w:rsidR="00095909" w:rsidRPr="007A7D7B" w:rsidRDefault="00095909" w:rsidP="00906654">
            <w:pPr>
              <w:tabs>
                <w:tab w:val="left" w:pos="2835"/>
              </w:tabs>
              <w:ind w:right="338"/>
              <w:jc w:val="center"/>
              <w:rPr>
                <w:rFonts w:eastAsia="Times New Roman"/>
                <w:b/>
                <w:noProof/>
                <w:color w:val="000000"/>
                <w:szCs w:val="24"/>
                <w:lang w:val="ro-RO"/>
              </w:rPr>
            </w:pPr>
          </w:p>
          <w:p w14:paraId="70C1FA81" w14:textId="77777777" w:rsidR="00CD4AFC" w:rsidRPr="007A7D7B" w:rsidRDefault="00095909" w:rsidP="00CD4AFC">
            <w:pPr>
              <w:tabs>
                <w:tab w:val="left" w:pos="2835"/>
              </w:tabs>
              <w:ind w:right="338"/>
              <w:jc w:val="center"/>
              <w:rPr>
                <w:rFonts w:eastAsia="Times New Roman"/>
                <w:b/>
                <w:bCs/>
                <w:noProof/>
                <w:color w:val="000000"/>
                <w:szCs w:val="24"/>
                <w:lang w:val="ro-RO"/>
              </w:rPr>
            </w:pPr>
            <w:r w:rsidRPr="007A7D7B">
              <w:rPr>
                <w:rFonts w:eastAsia="Times New Roman"/>
                <w:b/>
                <w:noProof/>
                <w:color w:val="000000"/>
                <w:szCs w:val="24"/>
                <w:lang w:val="ro-RO"/>
              </w:rPr>
              <w:t xml:space="preserve">MINISTRUL </w:t>
            </w:r>
            <w:r w:rsidR="00CD4AFC" w:rsidRPr="007A7D7B">
              <w:rPr>
                <w:b/>
                <w:bCs/>
                <w:color w:val="000000"/>
                <w:szCs w:val="24"/>
                <w:shd w:val="clear" w:color="auto" w:fill="FFFFFF"/>
                <w:lang w:val="ro-RO"/>
              </w:rPr>
              <w:t>ECONOMIEI, ANTREPRENORIATULUI ȘI TURISMULUI</w:t>
            </w:r>
            <w:r w:rsidR="00CD4AFC" w:rsidRPr="007A7D7B">
              <w:rPr>
                <w:rFonts w:eastAsia="Times New Roman"/>
                <w:b/>
                <w:bCs/>
                <w:noProof/>
                <w:color w:val="000000"/>
                <w:szCs w:val="24"/>
                <w:lang w:val="ro-RO"/>
              </w:rPr>
              <w:t xml:space="preserve"> </w:t>
            </w:r>
          </w:p>
          <w:p w14:paraId="5CB41E21" w14:textId="77777777" w:rsidR="0073758F" w:rsidRPr="007A7D7B" w:rsidRDefault="0073758F" w:rsidP="00CD4AFC">
            <w:pPr>
              <w:tabs>
                <w:tab w:val="left" w:pos="2835"/>
              </w:tabs>
              <w:ind w:right="338"/>
              <w:jc w:val="center"/>
              <w:rPr>
                <w:rFonts w:eastAsia="Times New Roman"/>
                <w:b/>
                <w:bCs/>
                <w:noProof/>
                <w:color w:val="000000"/>
                <w:szCs w:val="24"/>
                <w:lang w:val="ro-RO"/>
              </w:rPr>
            </w:pPr>
          </w:p>
          <w:p w14:paraId="04F4C05E" w14:textId="77777777" w:rsidR="0073758F" w:rsidRPr="007A7D7B" w:rsidRDefault="0073758F" w:rsidP="00CD4AFC">
            <w:pPr>
              <w:tabs>
                <w:tab w:val="left" w:pos="2835"/>
              </w:tabs>
              <w:ind w:right="338"/>
              <w:jc w:val="center"/>
              <w:rPr>
                <w:rFonts w:eastAsia="Times New Roman"/>
                <w:b/>
                <w:bCs/>
                <w:noProof/>
                <w:color w:val="000000"/>
                <w:szCs w:val="24"/>
                <w:lang w:val="ro-RO"/>
              </w:rPr>
            </w:pPr>
            <w:r w:rsidRPr="007A7D7B">
              <w:rPr>
                <w:rFonts w:eastAsia="Times New Roman"/>
                <w:b/>
                <w:bCs/>
                <w:noProof/>
                <w:color w:val="000000"/>
                <w:szCs w:val="24"/>
                <w:lang w:val="ro-RO"/>
              </w:rPr>
              <w:t>ȘTEFAN-RADU OPREA</w:t>
            </w:r>
          </w:p>
          <w:p w14:paraId="3C848A99" w14:textId="77777777" w:rsidR="0073758F" w:rsidRPr="007A7D7B" w:rsidRDefault="0073758F" w:rsidP="00CD4AFC">
            <w:pPr>
              <w:tabs>
                <w:tab w:val="left" w:pos="2835"/>
              </w:tabs>
              <w:ind w:right="338"/>
              <w:jc w:val="center"/>
              <w:rPr>
                <w:rFonts w:eastAsia="Times New Roman"/>
                <w:b/>
                <w:noProof/>
                <w:color w:val="000000"/>
                <w:szCs w:val="24"/>
                <w:lang w:val="ro-RO"/>
              </w:rPr>
            </w:pPr>
          </w:p>
          <w:p w14:paraId="43C5EF1E" w14:textId="77777777" w:rsidR="00F17729" w:rsidRPr="007A7D7B" w:rsidRDefault="00F17729" w:rsidP="00CD4AFC">
            <w:pPr>
              <w:tabs>
                <w:tab w:val="left" w:pos="2835"/>
              </w:tabs>
              <w:ind w:right="338"/>
              <w:jc w:val="center"/>
              <w:rPr>
                <w:rFonts w:eastAsia="Times New Roman"/>
                <w:b/>
                <w:noProof/>
                <w:color w:val="000000"/>
                <w:szCs w:val="24"/>
                <w:lang w:val="ro-RO"/>
              </w:rPr>
            </w:pPr>
          </w:p>
        </w:tc>
      </w:tr>
      <w:tr w:rsidR="006C3081" w:rsidRPr="007A7D7B" w14:paraId="08ACEEFB" w14:textId="77777777" w:rsidTr="006C3081">
        <w:tc>
          <w:tcPr>
            <w:tcW w:w="2438" w:type="pct"/>
            <w:shd w:val="clear" w:color="auto" w:fill="auto"/>
          </w:tcPr>
          <w:p w14:paraId="66CFE3EF"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MINISTRUL EDUCAȚIEI</w:t>
            </w:r>
          </w:p>
          <w:p w14:paraId="5068293B" w14:textId="77777777" w:rsidR="006C3081" w:rsidRPr="007A7D7B" w:rsidRDefault="006C3081" w:rsidP="006C3081">
            <w:pPr>
              <w:jc w:val="center"/>
              <w:rPr>
                <w:rFonts w:eastAsia="Times New Roman"/>
                <w:b/>
                <w:noProof/>
                <w:color w:val="000000"/>
                <w:szCs w:val="24"/>
                <w:lang w:val="ro-RO"/>
              </w:rPr>
            </w:pPr>
          </w:p>
          <w:p w14:paraId="47029B5E"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LIGIA DECA</w:t>
            </w:r>
          </w:p>
          <w:p w14:paraId="3021D096" w14:textId="77777777" w:rsidR="006C3081" w:rsidRPr="007A7D7B" w:rsidRDefault="006C3081" w:rsidP="00906654">
            <w:pPr>
              <w:jc w:val="center"/>
              <w:rPr>
                <w:rFonts w:eastAsia="Times New Roman"/>
                <w:b/>
                <w:noProof/>
                <w:color w:val="000000"/>
                <w:szCs w:val="24"/>
                <w:lang w:val="ro-RO"/>
              </w:rPr>
            </w:pPr>
          </w:p>
          <w:p w14:paraId="7BAE79F4" w14:textId="77777777" w:rsidR="006C3081" w:rsidRPr="007A7D7B" w:rsidRDefault="006C3081" w:rsidP="00906654">
            <w:pPr>
              <w:jc w:val="center"/>
              <w:rPr>
                <w:rFonts w:eastAsia="Times New Roman"/>
                <w:b/>
                <w:noProof/>
                <w:color w:val="000000"/>
                <w:szCs w:val="24"/>
                <w:lang w:val="ro-RO"/>
              </w:rPr>
            </w:pPr>
          </w:p>
        </w:tc>
        <w:tc>
          <w:tcPr>
            <w:tcW w:w="2562" w:type="pct"/>
            <w:gridSpan w:val="2"/>
            <w:shd w:val="clear" w:color="auto" w:fill="auto"/>
          </w:tcPr>
          <w:p w14:paraId="4FE6F8F5"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MINISTRUL SĂNĂTĂȚII</w:t>
            </w:r>
          </w:p>
          <w:p w14:paraId="6AE9ABEA" w14:textId="77777777" w:rsidR="006C3081" w:rsidRPr="007A7D7B" w:rsidRDefault="006C3081" w:rsidP="006C3081">
            <w:pPr>
              <w:jc w:val="center"/>
              <w:rPr>
                <w:rFonts w:eastAsia="Times New Roman"/>
                <w:b/>
                <w:noProof/>
                <w:color w:val="000000"/>
                <w:szCs w:val="24"/>
                <w:lang w:val="ro-RO"/>
              </w:rPr>
            </w:pPr>
          </w:p>
          <w:p w14:paraId="23608C10"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ALEXANDRU RAFILA</w:t>
            </w:r>
          </w:p>
          <w:p w14:paraId="6F897DD3" w14:textId="77777777" w:rsidR="006C3081" w:rsidRPr="007A7D7B" w:rsidRDefault="006C3081" w:rsidP="00906654">
            <w:pPr>
              <w:tabs>
                <w:tab w:val="left" w:pos="2835"/>
              </w:tabs>
              <w:ind w:right="338"/>
              <w:jc w:val="center"/>
              <w:rPr>
                <w:rFonts w:eastAsia="Times New Roman"/>
                <w:b/>
                <w:noProof/>
                <w:color w:val="000000"/>
                <w:szCs w:val="24"/>
                <w:lang w:val="ro-RO"/>
              </w:rPr>
            </w:pPr>
          </w:p>
        </w:tc>
      </w:tr>
      <w:tr w:rsidR="00884FC3" w:rsidRPr="007A7D7B" w14:paraId="75F2B8D9" w14:textId="77777777" w:rsidTr="006C3081">
        <w:tc>
          <w:tcPr>
            <w:tcW w:w="2438" w:type="pct"/>
            <w:shd w:val="clear" w:color="auto" w:fill="auto"/>
          </w:tcPr>
          <w:p w14:paraId="2A08FE5D" w14:textId="77777777" w:rsidR="00095909" w:rsidRPr="007A7D7B" w:rsidRDefault="00095909" w:rsidP="00906654">
            <w:pPr>
              <w:jc w:val="center"/>
              <w:rPr>
                <w:rFonts w:eastAsia="Times New Roman"/>
                <w:b/>
                <w:noProof/>
                <w:color w:val="000000"/>
                <w:szCs w:val="24"/>
                <w:lang w:val="ro-RO"/>
              </w:rPr>
            </w:pPr>
          </w:p>
          <w:p w14:paraId="04C43AE2" w14:textId="17D634DA" w:rsidR="00095909" w:rsidRPr="007A7D7B" w:rsidRDefault="006C3081" w:rsidP="00906654">
            <w:pPr>
              <w:jc w:val="center"/>
              <w:rPr>
                <w:rFonts w:eastAsia="Times New Roman"/>
                <w:b/>
                <w:noProof/>
                <w:color w:val="000000"/>
                <w:szCs w:val="24"/>
                <w:lang w:val="ro-RO"/>
              </w:rPr>
            </w:pPr>
            <w:r w:rsidRPr="007A7D7B">
              <w:rPr>
                <w:rFonts w:eastAsia="Times New Roman"/>
                <w:b/>
                <w:noProof/>
                <w:color w:val="000000"/>
                <w:szCs w:val="24"/>
                <w:lang w:val="ro-RO"/>
              </w:rPr>
              <w:t>MINISTRUL INVESTIȚIILOR ȘI PROIECTELOR EUROPENE</w:t>
            </w:r>
          </w:p>
          <w:p w14:paraId="2958E29C" w14:textId="77777777" w:rsidR="00095909" w:rsidRPr="007A7D7B" w:rsidRDefault="00095909" w:rsidP="00906654">
            <w:pPr>
              <w:jc w:val="center"/>
              <w:rPr>
                <w:rFonts w:eastAsia="Times New Roman"/>
                <w:b/>
                <w:noProof/>
                <w:color w:val="000000"/>
                <w:szCs w:val="24"/>
                <w:lang w:val="ro-RO"/>
              </w:rPr>
            </w:pPr>
          </w:p>
          <w:p w14:paraId="25484EAC" w14:textId="77777777" w:rsidR="006C3081" w:rsidRPr="007A7D7B" w:rsidRDefault="006C3081" w:rsidP="00906654">
            <w:pPr>
              <w:jc w:val="center"/>
              <w:rPr>
                <w:rFonts w:eastAsia="Times New Roman"/>
                <w:b/>
                <w:noProof/>
                <w:color w:val="000000"/>
                <w:szCs w:val="24"/>
                <w:lang w:val="ro-RO"/>
              </w:rPr>
            </w:pPr>
            <w:r w:rsidRPr="007A7D7B">
              <w:rPr>
                <w:rFonts w:eastAsia="Times New Roman"/>
                <w:b/>
                <w:noProof/>
                <w:color w:val="000000"/>
                <w:szCs w:val="24"/>
                <w:lang w:val="ro-RO"/>
              </w:rPr>
              <w:t>ADRIAN CÂCIU</w:t>
            </w:r>
          </w:p>
          <w:p w14:paraId="0D174182" w14:textId="77777777" w:rsidR="006C3081" w:rsidRPr="007A7D7B" w:rsidRDefault="006C3081" w:rsidP="00906654">
            <w:pPr>
              <w:jc w:val="center"/>
              <w:rPr>
                <w:rFonts w:eastAsia="Times New Roman"/>
                <w:b/>
                <w:noProof/>
                <w:color w:val="000000"/>
                <w:szCs w:val="24"/>
                <w:lang w:val="ro-RO"/>
              </w:rPr>
            </w:pPr>
          </w:p>
          <w:p w14:paraId="341C4EE2" w14:textId="77777777" w:rsidR="006C3081" w:rsidRPr="007A7D7B" w:rsidRDefault="006C3081" w:rsidP="00906654">
            <w:pPr>
              <w:jc w:val="center"/>
              <w:rPr>
                <w:rFonts w:eastAsia="Times New Roman"/>
                <w:b/>
                <w:noProof/>
                <w:color w:val="000000"/>
                <w:szCs w:val="24"/>
                <w:lang w:val="ro-RO"/>
              </w:rPr>
            </w:pPr>
          </w:p>
          <w:p w14:paraId="77139F87" w14:textId="6B253012" w:rsidR="006C3081" w:rsidRPr="007A7D7B" w:rsidRDefault="006C3081" w:rsidP="00906654">
            <w:pPr>
              <w:jc w:val="center"/>
              <w:rPr>
                <w:rFonts w:eastAsia="Times New Roman"/>
                <w:b/>
                <w:noProof/>
                <w:color w:val="000000"/>
                <w:szCs w:val="24"/>
                <w:lang w:val="ro-RO"/>
              </w:rPr>
            </w:pPr>
          </w:p>
        </w:tc>
        <w:tc>
          <w:tcPr>
            <w:tcW w:w="2562" w:type="pct"/>
            <w:gridSpan w:val="2"/>
            <w:shd w:val="clear" w:color="auto" w:fill="auto"/>
          </w:tcPr>
          <w:p w14:paraId="46DBFD6C" w14:textId="77777777" w:rsidR="00095909" w:rsidRPr="007A7D7B" w:rsidRDefault="00095909" w:rsidP="00906654">
            <w:pPr>
              <w:jc w:val="center"/>
              <w:rPr>
                <w:rFonts w:eastAsia="Times New Roman"/>
                <w:b/>
                <w:noProof/>
                <w:color w:val="000000"/>
                <w:szCs w:val="24"/>
                <w:lang w:val="ro-RO"/>
              </w:rPr>
            </w:pPr>
          </w:p>
          <w:p w14:paraId="73AD16D3" w14:textId="77777777" w:rsidR="006C3081" w:rsidRPr="007A7D7B" w:rsidRDefault="006C3081" w:rsidP="006C3081">
            <w:pPr>
              <w:tabs>
                <w:tab w:val="left" w:pos="2430"/>
                <w:tab w:val="left" w:pos="3690"/>
              </w:tabs>
              <w:jc w:val="center"/>
              <w:rPr>
                <w:rFonts w:eastAsia="Times New Roman"/>
                <w:b/>
                <w:noProof/>
                <w:color w:val="000000"/>
                <w:szCs w:val="24"/>
                <w:lang w:val="ro-RO"/>
              </w:rPr>
            </w:pPr>
            <w:r w:rsidRPr="007A7D7B">
              <w:rPr>
                <w:rFonts w:eastAsia="Times New Roman"/>
                <w:b/>
                <w:noProof/>
                <w:color w:val="000000"/>
                <w:szCs w:val="24"/>
                <w:lang w:val="ro-RO"/>
              </w:rPr>
              <w:t>MINISTRUL AGRICULTURII</w:t>
            </w:r>
            <w:r w:rsidRPr="007A7D7B">
              <w:rPr>
                <w:color w:val="000000"/>
                <w:szCs w:val="24"/>
                <w:lang w:val="ro-RO"/>
              </w:rPr>
              <w:t xml:space="preserve"> </w:t>
            </w:r>
            <w:r w:rsidRPr="007A7D7B">
              <w:rPr>
                <w:rFonts w:eastAsia="Times New Roman"/>
                <w:b/>
                <w:noProof/>
                <w:color w:val="000000"/>
                <w:szCs w:val="24"/>
                <w:lang w:val="ro-RO"/>
              </w:rPr>
              <w:t>ȘI DEZVOLTĂRII RURALE</w:t>
            </w:r>
          </w:p>
          <w:p w14:paraId="525183D4" w14:textId="77777777" w:rsidR="006C3081" w:rsidRPr="007A7D7B" w:rsidRDefault="006C3081" w:rsidP="006C3081">
            <w:pPr>
              <w:tabs>
                <w:tab w:val="left" w:pos="2430"/>
                <w:tab w:val="left" w:pos="3690"/>
              </w:tabs>
              <w:jc w:val="center"/>
              <w:rPr>
                <w:rFonts w:eastAsia="Times New Roman"/>
                <w:b/>
                <w:noProof/>
                <w:color w:val="000000"/>
                <w:szCs w:val="24"/>
                <w:lang w:val="ro-RO"/>
              </w:rPr>
            </w:pPr>
          </w:p>
          <w:p w14:paraId="1C3B3A81"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FLORIN-IONUȚ BARBU</w:t>
            </w:r>
          </w:p>
          <w:p w14:paraId="38E2F58B" w14:textId="77777777" w:rsidR="00F17729" w:rsidRPr="007A7D7B" w:rsidRDefault="00F17729" w:rsidP="006C3081">
            <w:pPr>
              <w:jc w:val="center"/>
              <w:rPr>
                <w:rFonts w:eastAsia="Times New Roman"/>
                <w:b/>
                <w:noProof/>
                <w:color w:val="000000"/>
                <w:szCs w:val="24"/>
                <w:lang w:val="ro-RO"/>
              </w:rPr>
            </w:pPr>
          </w:p>
        </w:tc>
      </w:tr>
      <w:tr w:rsidR="00884FC3" w:rsidRPr="007A7D7B" w14:paraId="20662F54" w14:textId="77777777" w:rsidTr="006C3081">
        <w:tc>
          <w:tcPr>
            <w:tcW w:w="2448" w:type="pct"/>
            <w:gridSpan w:val="2"/>
            <w:shd w:val="clear" w:color="auto" w:fill="auto"/>
          </w:tcPr>
          <w:p w14:paraId="543B30BB"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MINISTRUL FINANȚELOR</w:t>
            </w:r>
          </w:p>
          <w:p w14:paraId="31A6D257" w14:textId="77777777" w:rsidR="006C3081" w:rsidRPr="007A7D7B" w:rsidRDefault="006C3081" w:rsidP="006C3081">
            <w:pPr>
              <w:rPr>
                <w:rFonts w:eastAsia="Times New Roman"/>
                <w:b/>
                <w:noProof/>
                <w:color w:val="000000"/>
                <w:szCs w:val="24"/>
                <w:lang w:val="ro-RO"/>
              </w:rPr>
            </w:pPr>
          </w:p>
          <w:p w14:paraId="67E027BF"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MARCEL-IOAN BOLOȘ</w:t>
            </w:r>
          </w:p>
          <w:p w14:paraId="6DD52F88" w14:textId="77777777" w:rsidR="004E1A59" w:rsidRPr="007A7D7B" w:rsidRDefault="004E1A59" w:rsidP="006C3081">
            <w:pPr>
              <w:jc w:val="center"/>
              <w:rPr>
                <w:rFonts w:eastAsia="Times New Roman"/>
                <w:b/>
                <w:noProof/>
                <w:color w:val="000000"/>
                <w:szCs w:val="24"/>
                <w:lang w:val="ro-RO"/>
              </w:rPr>
            </w:pPr>
          </w:p>
        </w:tc>
        <w:tc>
          <w:tcPr>
            <w:tcW w:w="2552" w:type="pct"/>
            <w:shd w:val="clear" w:color="auto" w:fill="auto"/>
          </w:tcPr>
          <w:p w14:paraId="5A0FBB74"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MINISTRUL JUSTIȚIEI</w:t>
            </w:r>
          </w:p>
          <w:p w14:paraId="28974967" w14:textId="77777777" w:rsidR="006C3081" w:rsidRPr="007A7D7B" w:rsidRDefault="006C3081" w:rsidP="006C3081">
            <w:pPr>
              <w:jc w:val="center"/>
              <w:rPr>
                <w:rFonts w:eastAsia="Times New Roman"/>
                <w:b/>
                <w:noProof/>
                <w:color w:val="000000"/>
                <w:szCs w:val="24"/>
                <w:lang w:val="ro-RO"/>
              </w:rPr>
            </w:pPr>
          </w:p>
          <w:p w14:paraId="4EE7BC59" w14:textId="77777777" w:rsidR="006C3081" w:rsidRPr="007A7D7B" w:rsidRDefault="006C3081" w:rsidP="006C3081">
            <w:pPr>
              <w:jc w:val="center"/>
              <w:rPr>
                <w:rFonts w:eastAsia="Times New Roman"/>
                <w:b/>
                <w:noProof/>
                <w:color w:val="000000"/>
                <w:szCs w:val="24"/>
                <w:lang w:val="ro-RO"/>
              </w:rPr>
            </w:pPr>
            <w:r w:rsidRPr="007A7D7B">
              <w:rPr>
                <w:rFonts w:eastAsia="Times New Roman"/>
                <w:b/>
                <w:noProof/>
                <w:color w:val="000000"/>
                <w:szCs w:val="24"/>
                <w:lang w:val="ro-RO"/>
              </w:rPr>
              <w:t>ALINA ȘTEFANIA GORGHIU</w:t>
            </w:r>
          </w:p>
          <w:p w14:paraId="065906CA" w14:textId="77777777" w:rsidR="004E1A59" w:rsidRPr="007A7D7B" w:rsidRDefault="004E1A59" w:rsidP="006C3081">
            <w:pPr>
              <w:jc w:val="center"/>
              <w:rPr>
                <w:rFonts w:eastAsia="Times New Roman"/>
                <w:b/>
                <w:noProof/>
                <w:color w:val="000000"/>
                <w:szCs w:val="24"/>
                <w:lang w:val="ro-RO"/>
              </w:rPr>
            </w:pPr>
          </w:p>
        </w:tc>
      </w:tr>
    </w:tbl>
    <w:p w14:paraId="0B3268FC" w14:textId="77777777" w:rsidR="00906654" w:rsidRPr="007A7D7B" w:rsidRDefault="00906654" w:rsidP="00906654">
      <w:pPr>
        <w:rPr>
          <w:color w:val="000000"/>
          <w:szCs w:val="24"/>
          <w:lang w:val="ro-RO"/>
        </w:rPr>
      </w:pPr>
    </w:p>
    <w:p w14:paraId="364046A6" w14:textId="218AB887" w:rsidR="006C3081" w:rsidRPr="007A7D7B" w:rsidRDefault="006C3081" w:rsidP="006C3081">
      <w:pPr>
        <w:rPr>
          <w:b/>
          <w:color w:val="000000"/>
          <w:szCs w:val="24"/>
          <w:lang w:val="ro-RO"/>
        </w:rPr>
      </w:pPr>
      <w:r w:rsidRPr="007A7D7B">
        <w:rPr>
          <w:b/>
          <w:color w:val="000000"/>
          <w:szCs w:val="24"/>
          <w:lang w:val="ro-RO"/>
        </w:rPr>
        <w:lastRenderedPageBreak/>
        <w:t>SECRETAR DE STAT                                                     SECRETAR DE STAT</w:t>
      </w:r>
    </w:p>
    <w:p w14:paraId="5AE318EF" w14:textId="3088F6B5" w:rsidR="006C3081" w:rsidRPr="007A7D7B" w:rsidRDefault="00E7647A" w:rsidP="006C3081">
      <w:pPr>
        <w:rPr>
          <w:rFonts w:eastAsia="Times New Roman"/>
          <w:b/>
          <w:noProof/>
          <w:color w:val="000000"/>
          <w:szCs w:val="24"/>
          <w:lang w:val="ro-RO"/>
        </w:rPr>
      </w:pPr>
      <w:r w:rsidRPr="007A7D7B">
        <w:rPr>
          <w:b/>
          <w:color w:val="000000"/>
          <w:szCs w:val="24"/>
          <w:lang w:val="ro-RO"/>
        </w:rPr>
        <w:t xml:space="preserve">Adriana </w:t>
      </w:r>
      <w:r w:rsidR="006C3081" w:rsidRPr="007A7D7B">
        <w:rPr>
          <w:b/>
          <w:color w:val="000000"/>
          <w:szCs w:val="24"/>
          <w:lang w:val="ro-RO"/>
        </w:rPr>
        <w:t xml:space="preserve">PETCU                                                </w:t>
      </w:r>
      <w:r w:rsidRPr="007A7D7B">
        <w:rPr>
          <w:b/>
          <w:color w:val="000000"/>
          <w:szCs w:val="24"/>
          <w:lang w:val="ro-RO"/>
        </w:rPr>
        <w:t xml:space="preserve">       </w:t>
      </w:r>
      <w:r w:rsidR="006C3081" w:rsidRPr="007A7D7B">
        <w:rPr>
          <w:b/>
          <w:color w:val="000000"/>
          <w:szCs w:val="24"/>
          <w:lang w:val="ro-RO"/>
        </w:rPr>
        <w:t xml:space="preserve">           </w:t>
      </w:r>
      <w:r w:rsidR="006C3081" w:rsidRPr="007A7D7B">
        <w:rPr>
          <w:rFonts w:eastAsia="Times New Roman"/>
          <w:b/>
          <w:noProof/>
          <w:color w:val="000000"/>
          <w:szCs w:val="24"/>
          <w:lang w:val="ro-RO"/>
        </w:rPr>
        <w:t xml:space="preserve"> </w:t>
      </w:r>
      <w:r w:rsidRPr="007A7D7B">
        <w:rPr>
          <w:rFonts w:eastAsia="Times New Roman"/>
          <w:b/>
          <w:noProof/>
          <w:color w:val="000000"/>
          <w:szCs w:val="24"/>
          <w:lang w:val="ro-RO"/>
        </w:rPr>
        <w:t xml:space="preserve">Dan-Ștefan </w:t>
      </w:r>
      <w:r w:rsidR="006C3081" w:rsidRPr="007A7D7B">
        <w:rPr>
          <w:rFonts w:eastAsia="Times New Roman"/>
          <w:b/>
          <w:noProof/>
          <w:color w:val="000000"/>
          <w:szCs w:val="24"/>
          <w:lang w:val="ro-RO"/>
        </w:rPr>
        <w:t>CHIRU</w:t>
      </w:r>
    </w:p>
    <w:p w14:paraId="73D95718" w14:textId="77777777" w:rsidR="006C3081" w:rsidRPr="007A7D7B" w:rsidRDefault="006C3081" w:rsidP="006C3081">
      <w:pPr>
        <w:rPr>
          <w:rFonts w:eastAsia="Times New Roman"/>
          <w:b/>
          <w:noProof/>
          <w:color w:val="000000"/>
          <w:szCs w:val="24"/>
          <w:lang w:val="ro-RO"/>
        </w:rPr>
      </w:pPr>
    </w:p>
    <w:p w14:paraId="3657E825" w14:textId="77777777" w:rsidR="006C3081" w:rsidRPr="007A7D7B" w:rsidRDefault="006C3081" w:rsidP="006C3081">
      <w:pPr>
        <w:rPr>
          <w:rFonts w:eastAsia="Times New Roman"/>
          <w:b/>
          <w:noProof/>
          <w:color w:val="000000"/>
          <w:szCs w:val="24"/>
          <w:lang w:val="ro-RO"/>
        </w:rPr>
      </w:pPr>
    </w:p>
    <w:p w14:paraId="7647D145" w14:textId="77777777" w:rsidR="006C3081" w:rsidRPr="007A7D7B" w:rsidRDefault="006C3081" w:rsidP="006C3081">
      <w:pPr>
        <w:rPr>
          <w:rFonts w:eastAsia="Times New Roman"/>
          <w:b/>
          <w:noProof/>
          <w:color w:val="000000"/>
          <w:szCs w:val="24"/>
          <w:lang w:val="ro-RO"/>
        </w:rPr>
      </w:pPr>
    </w:p>
    <w:p w14:paraId="0A2BFC31" w14:textId="6500ABAE" w:rsidR="006C3081" w:rsidRPr="007A7D7B" w:rsidRDefault="006C3081" w:rsidP="006C3081">
      <w:pPr>
        <w:rPr>
          <w:b/>
          <w:color w:val="000000"/>
          <w:szCs w:val="24"/>
          <w:lang w:val="ro-RO"/>
        </w:rPr>
      </w:pPr>
      <w:r w:rsidRPr="007A7D7B">
        <w:rPr>
          <w:b/>
          <w:color w:val="000000"/>
          <w:szCs w:val="24"/>
          <w:lang w:val="ro-RO"/>
        </w:rPr>
        <w:t>SECRETAR GENERAL</w:t>
      </w:r>
    </w:p>
    <w:p w14:paraId="54769A0C" w14:textId="610C89CE" w:rsidR="006C3081" w:rsidRPr="007A7D7B" w:rsidRDefault="00E7647A" w:rsidP="006C3081">
      <w:pPr>
        <w:rPr>
          <w:b/>
          <w:color w:val="000000"/>
          <w:szCs w:val="24"/>
          <w:lang w:val="ro-RO"/>
        </w:rPr>
      </w:pPr>
      <w:r w:rsidRPr="007A7D7B">
        <w:rPr>
          <w:b/>
          <w:color w:val="000000"/>
          <w:szCs w:val="24"/>
          <w:lang w:val="ro-RO"/>
        </w:rPr>
        <w:t xml:space="preserve">Alexandru </w:t>
      </w:r>
      <w:r w:rsidR="006C3081" w:rsidRPr="007A7D7B">
        <w:rPr>
          <w:b/>
          <w:color w:val="000000"/>
          <w:szCs w:val="24"/>
          <w:lang w:val="ro-RO"/>
        </w:rPr>
        <w:t>AVRAM</w:t>
      </w:r>
    </w:p>
    <w:p w14:paraId="51BE9B1C" w14:textId="77777777" w:rsidR="006C3081" w:rsidRPr="007A7D7B" w:rsidRDefault="006C3081" w:rsidP="006C3081">
      <w:pPr>
        <w:rPr>
          <w:b/>
          <w:color w:val="000000"/>
          <w:szCs w:val="24"/>
          <w:lang w:val="ro-RO"/>
        </w:rPr>
      </w:pPr>
    </w:p>
    <w:p w14:paraId="2C24DDDE" w14:textId="77777777" w:rsidR="006C3081" w:rsidRPr="007A7D7B" w:rsidRDefault="006C3081" w:rsidP="006C3081">
      <w:pPr>
        <w:rPr>
          <w:b/>
          <w:color w:val="000000"/>
          <w:szCs w:val="24"/>
          <w:lang w:val="ro-RO"/>
        </w:rPr>
      </w:pPr>
    </w:p>
    <w:p w14:paraId="133BBCF1" w14:textId="77777777" w:rsidR="006C3081" w:rsidRPr="007A7D7B" w:rsidRDefault="006C3081" w:rsidP="006C3081">
      <w:pPr>
        <w:rPr>
          <w:b/>
          <w:color w:val="000000"/>
          <w:szCs w:val="24"/>
          <w:lang w:val="ro-RO"/>
        </w:rPr>
      </w:pPr>
    </w:p>
    <w:p w14:paraId="7CDB1B56" w14:textId="17F45245" w:rsidR="006C3081" w:rsidRPr="007A7D7B" w:rsidRDefault="006C3081" w:rsidP="006C3081">
      <w:pPr>
        <w:rPr>
          <w:b/>
          <w:color w:val="000000"/>
          <w:szCs w:val="24"/>
          <w:lang w:val="ro-RO"/>
        </w:rPr>
      </w:pPr>
      <w:r w:rsidRPr="007A7D7B">
        <w:rPr>
          <w:b/>
          <w:color w:val="000000"/>
          <w:szCs w:val="24"/>
          <w:lang w:val="ro-RO"/>
        </w:rPr>
        <w:t>SECRETAR GENERAL ADJUNCT</w:t>
      </w:r>
      <w:r w:rsidR="00BF5C32" w:rsidRPr="007A7D7B">
        <w:rPr>
          <w:b/>
          <w:color w:val="000000"/>
          <w:szCs w:val="24"/>
          <w:lang w:val="ro-RO"/>
        </w:rPr>
        <w:t xml:space="preserve">                                SECRETAR GENERAL ADJUNCT</w:t>
      </w:r>
    </w:p>
    <w:p w14:paraId="7CB4A913" w14:textId="74AEA41E" w:rsidR="006C3081" w:rsidRPr="007A7D7B" w:rsidRDefault="006C3081" w:rsidP="006C3081">
      <w:pPr>
        <w:rPr>
          <w:rFonts w:eastAsia="Times New Roman"/>
          <w:b/>
          <w:color w:val="000000"/>
          <w:szCs w:val="24"/>
          <w:lang w:val="ro-RO" w:eastAsia="ro-RO"/>
        </w:rPr>
      </w:pPr>
      <w:r w:rsidRPr="007A7D7B">
        <w:rPr>
          <w:rFonts w:eastAsia="Times New Roman"/>
          <w:b/>
          <w:color w:val="000000"/>
          <w:szCs w:val="24"/>
          <w:lang w:val="ro-RO" w:eastAsia="ro-RO"/>
        </w:rPr>
        <w:t>Teodor DULCEAȚĂ</w:t>
      </w:r>
      <w:r w:rsidR="00BF5C32" w:rsidRPr="007A7D7B">
        <w:rPr>
          <w:rFonts w:eastAsia="Times New Roman"/>
          <w:b/>
          <w:color w:val="000000"/>
          <w:szCs w:val="24"/>
          <w:lang w:val="ro-RO" w:eastAsia="ro-RO"/>
        </w:rPr>
        <w:t xml:space="preserve">                                                                      </w:t>
      </w:r>
      <w:r w:rsidR="00BF5C32" w:rsidRPr="007A7D7B">
        <w:rPr>
          <w:rFonts w:eastAsia="Times New Roman"/>
          <w:b/>
          <w:szCs w:val="24"/>
          <w:lang w:val="ro-RO" w:eastAsia="ro-RO"/>
        </w:rPr>
        <w:t>Győző István BÁRCZI</w:t>
      </w:r>
    </w:p>
    <w:p w14:paraId="5FF67741" w14:textId="77777777" w:rsidR="006C3081" w:rsidRPr="007A7D7B" w:rsidRDefault="006C3081" w:rsidP="006C3081">
      <w:pPr>
        <w:rPr>
          <w:rFonts w:eastAsia="Times New Roman"/>
          <w:b/>
          <w:color w:val="000000"/>
          <w:szCs w:val="24"/>
          <w:lang w:val="ro-RO" w:eastAsia="ro-RO"/>
        </w:rPr>
      </w:pPr>
    </w:p>
    <w:p w14:paraId="68966A36" w14:textId="77777777" w:rsidR="006C3081" w:rsidRPr="007A7D7B" w:rsidRDefault="006C3081" w:rsidP="006C3081">
      <w:pPr>
        <w:rPr>
          <w:rFonts w:eastAsia="Times New Roman"/>
          <w:b/>
          <w:color w:val="000000"/>
          <w:szCs w:val="24"/>
          <w:lang w:val="ro-RO" w:eastAsia="ro-RO"/>
        </w:rPr>
      </w:pPr>
    </w:p>
    <w:p w14:paraId="5DDC63AB" w14:textId="77777777" w:rsidR="00392DB4" w:rsidRPr="007A7D7B" w:rsidRDefault="00392DB4" w:rsidP="006C3081">
      <w:pPr>
        <w:rPr>
          <w:rFonts w:eastAsia="Times New Roman"/>
          <w:b/>
          <w:color w:val="000000"/>
          <w:szCs w:val="24"/>
          <w:lang w:val="ro-RO" w:eastAsia="ro-RO"/>
        </w:rPr>
      </w:pPr>
    </w:p>
    <w:p w14:paraId="50132648" w14:textId="6A7577B4" w:rsidR="006C3081" w:rsidRPr="007A7D7B" w:rsidRDefault="006C3081" w:rsidP="006C3081">
      <w:pPr>
        <w:rPr>
          <w:b/>
          <w:color w:val="000000"/>
          <w:szCs w:val="24"/>
          <w:lang w:val="ro-RO"/>
        </w:rPr>
      </w:pPr>
      <w:r w:rsidRPr="007A7D7B">
        <w:rPr>
          <w:b/>
          <w:color w:val="000000"/>
          <w:szCs w:val="24"/>
          <w:lang w:val="ro-RO"/>
        </w:rPr>
        <w:t>DIRECȚIA GENERALĂ RESURSE UMANE, JURIDICĂ ȘI RELAȚIA CU PARLAMENTUL</w:t>
      </w:r>
    </w:p>
    <w:p w14:paraId="3738F880" w14:textId="08198306" w:rsidR="006C3081" w:rsidRPr="007A7D7B" w:rsidRDefault="00E7647A" w:rsidP="006C3081">
      <w:pPr>
        <w:rPr>
          <w:b/>
          <w:color w:val="000000"/>
          <w:szCs w:val="24"/>
          <w:lang w:val="ro-RO"/>
        </w:rPr>
      </w:pPr>
      <w:r w:rsidRPr="007A7D7B">
        <w:rPr>
          <w:b/>
          <w:color w:val="000000"/>
          <w:szCs w:val="24"/>
          <w:lang w:val="ro-RO"/>
        </w:rPr>
        <w:t xml:space="preserve">Cristina </w:t>
      </w:r>
      <w:r w:rsidR="006C3081" w:rsidRPr="007A7D7B">
        <w:rPr>
          <w:b/>
          <w:color w:val="000000"/>
          <w:szCs w:val="24"/>
          <w:lang w:val="ro-RO"/>
        </w:rPr>
        <w:t>DUMITRESCU, DIRECTOR GENERAL</w:t>
      </w:r>
    </w:p>
    <w:p w14:paraId="0A6355B9" w14:textId="1FA21926" w:rsidR="006C3081" w:rsidRPr="007A7D7B" w:rsidRDefault="006C3081" w:rsidP="006C3081">
      <w:pPr>
        <w:rPr>
          <w:b/>
          <w:color w:val="000000"/>
          <w:szCs w:val="24"/>
          <w:lang w:val="ro-RO"/>
        </w:rPr>
      </w:pPr>
    </w:p>
    <w:p w14:paraId="07AB1172" w14:textId="77777777" w:rsidR="006C3081" w:rsidRPr="007A7D7B" w:rsidRDefault="006C3081" w:rsidP="006C3081">
      <w:pPr>
        <w:rPr>
          <w:b/>
          <w:color w:val="000000"/>
          <w:szCs w:val="24"/>
          <w:lang w:val="ro-RO"/>
        </w:rPr>
      </w:pPr>
    </w:p>
    <w:p w14:paraId="6214EBE9" w14:textId="77777777" w:rsidR="006C3081" w:rsidRPr="007A7D7B" w:rsidRDefault="006C3081" w:rsidP="006C3081">
      <w:pPr>
        <w:rPr>
          <w:b/>
          <w:color w:val="000000"/>
          <w:szCs w:val="24"/>
          <w:lang w:val="ro-RO"/>
        </w:rPr>
      </w:pPr>
    </w:p>
    <w:p w14:paraId="74A6A37D" w14:textId="09197184" w:rsidR="00392DB4" w:rsidRPr="007A7D7B" w:rsidRDefault="00392DB4" w:rsidP="006C3081">
      <w:pPr>
        <w:rPr>
          <w:b/>
          <w:color w:val="000000"/>
          <w:szCs w:val="24"/>
          <w:lang w:val="ro-RO"/>
        </w:rPr>
      </w:pPr>
      <w:r w:rsidRPr="007A7D7B">
        <w:rPr>
          <w:b/>
          <w:color w:val="000000"/>
          <w:szCs w:val="24"/>
          <w:lang w:val="ro-RO"/>
        </w:rPr>
        <w:t>DIRECȚIA GENERALĂ ECONOMICĂ, INVESTIȚII ȘI ADMINISTRATIV</w:t>
      </w:r>
    </w:p>
    <w:p w14:paraId="05A0E97B" w14:textId="01FC2A13" w:rsidR="00392DB4" w:rsidRPr="007A7D7B" w:rsidRDefault="00E7647A" w:rsidP="006C3081">
      <w:pPr>
        <w:rPr>
          <w:b/>
          <w:color w:val="000000"/>
          <w:szCs w:val="24"/>
          <w:lang w:val="ro-RO"/>
        </w:rPr>
      </w:pPr>
      <w:r w:rsidRPr="007A7D7B">
        <w:rPr>
          <w:b/>
          <w:color w:val="000000"/>
          <w:szCs w:val="24"/>
          <w:lang w:val="ro-RO"/>
        </w:rPr>
        <w:t xml:space="preserve">Speranța </w:t>
      </w:r>
      <w:r w:rsidR="00392DB4" w:rsidRPr="007A7D7B">
        <w:rPr>
          <w:b/>
          <w:color w:val="000000"/>
          <w:szCs w:val="24"/>
          <w:lang w:val="ro-RO"/>
        </w:rPr>
        <w:t>IONESCU, DIRECTOR GENERAL</w:t>
      </w:r>
    </w:p>
    <w:p w14:paraId="486D73EF" w14:textId="77777777" w:rsidR="00392DB4" w:rsidRPr="007A7D7B" w:rsidRDefault="00392DB4" w:rsidP="006C3081">
      <w:pPr>
        <w:rPr>
          <w:b/>
          <w:color w:val="000000"/>
          <w:szCs w:val="24"/>
          <w:lang w:val="ro-RO"/>
        </w:rPr>
      </w:pPr>
    </w:p>
    <w:p w14:paraId="2C53EA89" w14:textId="77777777" w:rsidR="00392DB4" w:rsidRPr="007A7D7B" w:rsidRDefault="00392DB4" w:rsidP="006C3081">
      <w:pPr>
        <w:rPr>
          <w:b/>
          <w:color w:val="000000"/>
          <w:szCs w:val="24"/>
          <w:lang w:val="ro-RO"/>
        </w:rPr>
      </w:pPr>
    </w:p>
    <w:p w14:paraId="42776789" w14:textId="77777777" w:rsidR="00392DB4" w:rsidRPr="007A7D7B" w:rsidRDefault="00392DB4" w:rsidP="006C3081">
      <w:pPr>
        <w:rPr>
          <w:b/>
          <w:color w:val="000000"/>
          <w:szCs w:val="24"/>
          <w:lang w:val="ro-RO"/>
        </w:rPr>
      </w:pPr>
    </w:p>
    <w:p w14:paraId="6420F2C2" w14:textId="450286BE" w:rsidR="006C3081" w:rsidRPr="007A7D7B" w:rsidRDefault="006C3081" w:rsidP="006C3081">
      <w:pPr>
        <w:rPr>
          <w:b/>
          <w:color w:val="000000"/>
          <w:szCs w:val="24"/>
          <w:lang w:val="ro-RO"/>
        </w:rPr>
      </w:pPr>
      <w:r w:rsidRPr="007A7D7B">
        <w:rPr>
          <w:b/>
          <w:color w:val="000000"/>
          <w:szCs w:val="24"/>
          <w:lang w:val="ro-RO"/>
        </w:rPr>
        <w:t>DIRECȚIA GENERALĂ EVALUARE IMPACT, CONTROLUL POLUĂRII ȘI SCHIMBĂRI CLIMATICE</w:t>
      </w:r>
    </w:p>
    <w:p w14:paraId="2CA953BA" w14:textId="21895C1B" w:rsidR="00392DB4" w:rsidRPr="007A7D7B" w:rsidRDefault="00E7647A" w:rsidP="00392DB4">
      <w:pPr>
        <w:rPr>
          <w:b/>
          <w:color w:val="000000"/>
          <w:szCs w:val="24"/>
          <w:lang w:val="ro-RO"/>
        </w:rPr>
      </w:pPr>
      <w:r w:rsidRPr="007A7D7B">
        <w:rPr>
          <w:b/>
          <w:color w:val="000000"/>
          <w:szCs w:val="24"/>
          <w:lang w:val="ro-RO"/>
        </w:rPr>
        <w:t xml:space="preserve">Dorina </w:t>
      </w:r>
      <w:r w:rsidR="006C3081" w:rsidRPr="007A7D7B">
        <w:rPr>
          <w:b/>
          <w:color w:val="000000"/>
          <w:szCs w:val="24"/>
          <w:lang w:val="ro-RO"/>
        </w:rPr>
        <w:t>MOCANU</w:t>
      </w:r>
      <w:r w:rsidR="00392DB4" w:rsidRPr="007A7D7B">
        <w:rPr>
          <w:b/>
          <w:color w:val="000000"/>
          <w:szCs w:val="24"/>
          <w:lang w:val="ro-RO"/>
        </w:rPr>
        <w:t>, DIRECTOR GENERAL</w:t>
      </w:r>
    </w:p>
    <w:p w14:paraId="2B67B7CA" w14:textId="76FDC5E2" w:rsidR="006C3081" w:rsidRPr="007A7D7B" w:rsidRDefault="006C3081" w:rsidP="006C3081">
      <w:pPr>
        <w:rPr>
          <w:b/>
          <w:color w:val="000000"/>
          <w:szCs w:val="24"/>
          <w:lang w:val="ro-RO"/>
        </w:rPr>
      </w:pPr>
    </w:p>
    <w:p w14:paraId="5DAAC4A1" w14:textId="77777777" w:rsidR="006C3081" w:rsidRPr="007A7D7B" w:rsidRDefault="006C3081" w:rsidP="006C3081">
      <w:pPr>
        <w:rPr>
          <w:b/>
          <w:color w:val="000000"/>
          <w:szCs w:val="24"/>
          <w:lang w:val="ro-RO"/>
        </w:rPr>
      </w:pPr>
    </w:p>
    <w:p w14:paraId="4F46945C" w14:textId="77777777" w:rsidR="006C3081" w:rsidRPr="007A7D7B" w:rsidRDefault="006C3081" w:rsidP="006C3081">
      <w:pPr>
        <w:rPr>
          <w:b/>
          <w:color w:val="000000"/>
          <w:szCs w:val="24"/>
          <w:lang w:val="ro-RO"/>
        </w:rPr>
      </w:pPr>
    </w:p>
    <w:p w14:paraId="4CDE9B9E" w14:textId="3AA35ACB" w:rsidR="006C3081" w:rsidRPr="007A7D7B" w:rsidRDefault="006C3081" w:rsidP="006C3081">
      <w:pPr>
        <w:rPr>
          <w:b/>
          <w:color w:val="000000"/>
          <w:szCs w:val="24"/>
          <w:lang w:val="ro-RO"/>
        </w:rPr>
      </w:pPr>
      <w:r w:rsidRPr="007A7D7B">
        <w:rPr>
          <w:b/>
          <w:color w:val="000000"/>
          <w:szCs w:val="24"/>
          <w:lang w:val="ro-RO"/>
        </w:rPr>
        <w:t>DIRECȚIA GENERALĂ BIODIVERSITATE</w:t>
      </w:r>
      <w:r w:rsidR="00392DB4" w:rsidRPr="007A7D7B">
        <w:rPr>
          <w:b/>
          <w:color w:val="000000"/>
          <w:szCs w:val="24"/>
          <w:lang w:val="ro-RO"/>
        </w:rPr>
        <w:t xml:space="preserve">                        </w:t>
      </w:r>
    </w:p>
    <w:p w14:paraId="1304DE42" w14:textId="5B281734" w:rsidR="006C3081" w:rsidRPr="007A7D7B" w:rsidRDefault="00E7647A" w:rsidP="006C3081">
      <w:pPr>
        <w:rPr>
          <w:b/>
          <w:color w:val="000000"/>
          <w:szCs w:val="24"/>
          <w:lang w:val="ro-RO"/>
        </w:rPr>
      </w:pPr>
      <w:r w:rsidRPr="007A7D7B">
        <w:rPr>
          <w:b/>
          <w:color w:val="000000"/>
          <w:szCs w:val="24"/>
          <w:lang w:val="ro-RO"/>
        </w:rPr>
        <w:t xml:space="preserve">Daniela </w:t>
      </w:r>
      <w:r w:rsidR="00392DB4" w:rsidRPr="007A7D7B">
        <w:rPr>
          <w:b/>
          <w:color w:val="000000"/>
          <w:szCs w:val="24"/>
          <w:lang w:val="ro-RO"/>
        </w:rPr>
        <w:t xml:space="preserve">DRĂCEA, </w:t>
      </w:r>
      <w:r w:rsidR="006C3081" w:rsidRPr="007A7D7B">
        <w:rPr>
          <w:b/>
          <w:color w:val="000000"/>
          <w:szCs w:val="24"/>
          <w:lang w:val="ro-RO"/>
        </w:rPr>
        <w:t>DIRECTOR GENERAL</w:t>
      </w:r>
    </w:p>
    <w:p w14:paraId="3CCF45FF" w14:textId="77777777" w:rsidR="006C3081" w:rsidRPr="007A7D7B" w:rsidRDefault="006C3081" w:rsidP="006C3081">
      <w:pPr>
        <w:rPr>
          <w:b/>
          <w:color w:val="000000"/>
          <w:szCs w:val="24"/>
          <w:lang w:val="ro-RO"/>
        </w:rPr>
      </w:pPr>
    </w:p>
    <w:p w14:paraId="2C4F0F63" w14:textId="77777777" w:rsidR="00392DB4" w:rsidRPr="007A7D7B" w:rsidRDefault="00392DB4" w:rsidP="006C3081">
      <w:pPr>
        <w:rPr>
          <w:b/>
          <w:color w:val="000000"/>
          <w:szCs w:val="24"/>
          <w:lang w:val="ro-RO"/>
        </w:rPr>
      </w:pPr>
    </w:p>
    <w:p w14:paraId="7DEF567A" w14:textId="77777777" w:rsidR="00392DB4" w:rsidRPr="007A7D7B" w:rsidRDefault="00392DB4" w:rsidP="006C3081">
      <w:pPr>
        <w:rPr>
          <w:b/>
          <w:color w:val="000000"/>
          <w:szCs w:val="24"/>
          <w:lang w:val="ro-RO"/>
        </w:rPr>
      </w:pPr>
    </w:p>
    <w:p w14:paraId="7CE924DB" w14:textId="77777777" w:rsidR="00392DB4" w:rsidRPr="007A7D7B" w:rsidRDefault="00392DB4" w:rsidP="006C3081">
      <w:pPr>
        <w:rPr>
          <w:b/>
          <w:color w:val="000000"/>
          <w:szCs w:val="24"/>
          <w:lang w:val="ro-RO"/>
        </w:rPr>
      </w:pPr>
    </w:p>
    <w:p w14:paraId="0364668D" w14:textId="1BA96B6D" w:rsidR="00392DB4" w:rsidRPr="007A7D7B" w:rsidRDefault="00392DB4" w:rsidP="00392DB4">
      <w:pPr>
        <w:rPr>
          <w:b/>
          <w:color w:val="000000"/>
          <w:szCs w:val="24"/>
          <w:lang w:val="ro-RO"/>
        </w:rPr>
      </w:pPr>
      <w:r w:rsidRPr="007A7D7B">
        <w:rPr>
          <w:b/>
          <w:color w:val="000000"/>
          <w:szCs w:val="24"/>
          <w:lang w:val="ro-RO"/>
        </w:rPr>
        <w:t>DIRECȚIA GENERALĂ APE                                                      ADMINISTRAȚIA NAȚIONALĂ</w:t>
      </w:r>
    </w:p>
    <w:p w14:paraId="2B76AB7A" w14:textId="21589C0B" w:rsidR="00392DB4" w:rsidRPr="007A7D7B" w:rsidRDefault="00E7647A" w:rsidP="00392DB4">
      <w:pPr>
        <w:rPr>
          <w:b/>
          <w:color w:val="000000"/>
          <w:szCs w:val="24"/>
          <w:lang w:val="ro-RO"/>
        </w:rPr>
      </w:pPr>
      <w:r w:rsidRPr="007A7D7B">
        <w:rPr>
          <w:b/>
          <w:color w:val="000000"/>
          <w:szCs w:val="24"/>
          <w:lang w:val="ro-RO"/>
        </w:rPr>
        <w:t xml:space="preserve">Simona Olimpia </w:t>
      </w:r>
      <w:r w:rsidR="00392DB4" w:rsidRPr="007A7D7B">
        <w:rPr>
          <w:b/>
          <w:color w:val="000000"/>
          <w:szCs w:val="24"/>
          <w:lang w:val="ro-RO"/>
        </w:rPr>
        <w:t>NEGRU, DIRECTOR GENERAL                            “APELE ROMÂNE”</w:t>
      </w:r>
    </w:p>
    <w:p w14:paraId="78BFD2DE" w14:textId="5FE590E0" w:rsidR="00392DB4" w:rsidRPr="007A7D7B" w:rsidRDefault="00392DB4" w:rsidP="00392DB4">
      <w:pPr>
        <w:rPr>
          <w:b/>
          <w:color w:val="000000"/>
          <w:szCs w:val="24"/>
          <w:lang w:val="ro-RO"/>
        </w:rPr>
      </w:pPr>
      <w:r w:rsidRPr="007A7D7B">
        <w:rPr>
          <w:b/>
          <w:color w:val="000000"/>
          <w:szCs w:val="24"/>
          <w:lang w:val="ro-RO"/>
        </w:rPr>
        <w:t xml:space="preserve">                                                                                                                   DIRECTOR GENERAL</w:t>
      </w:r>
    </w:p>
    <w:p w14:paraId="72098A5A" w14:textId="6A1D116C" w:rsidR="00392DB4" w:rsidRPr="007A7D7B" w:rsidRDefault="00392DB4" w:rsidP="00392DB4">
      <w:pPr>
        <w:rPr>
          <w:b/>
          <w:color w:val="000000"/>
          <w:szCs w:val="24"/>
          <w:lang w:val="ro-RO"/>
        </w:rPr>
      </w:pPr>
      <w:r w:rsidRPr="007A7D7B">
        <w:rPr>
          <w:b/>
          <w:color w:val="000000"/>
          <w:szCs w:val="24"/>
          <w:lang w:val="ro-RO"/>
        </w:rPr>
        <w:t xml:space="preserve">                                                                                                                         </w:t>
      </w:r>
      <w:r w:rsidR="00E7647A" w:rsidRPr="007A7D7B">
        <w:rPr>
          <w:b/>
          <w:color w:val="000000"/>
          <w:szCs w:val="24"/>
          <w:lang w:val="ro-RO"/>
        </w:rPr>
        <w:t xml:space="preserve">Sorin </w:t>
      </w:r>
      <w:r w:rsidRPr="007A7D7B">
        <w:rPr>
          <w:b/>
          <w:color w:val="000000"/>
          <w:szCs w:val="24"/>
          <w:lang w:val="ro-RO"/>
        </w:rPr>
        <w:t>LUCACI</w:t>
      </w:r>
    </w:p>
    <w:p w14:paraId="59C71B48" w14:textId="77777777" w:rsidR="00392DB4" w:rsidRPr="007A7D7B" w:rsidRDefault="00392DB4" w:rsidP="00392DB4">
      <w:pPr>
        <w:rPr>
          <w:b/>
          <w:color w:val="000000"/>
          <w:szCs w:val="24"/>
          <w:lang w:val="ro-RO"/>
        </w:rPr>
      </w:pPr>
    </w:p>
    <w:p w14:paraId="177E707D" w14:textId="77777777" w:rsidR="00392DB4" w:rsidRPr="007A7D7B" w:rsidRDefault="00392DB4" w:rsidP="00392DB4">
      <w:pPr>
        <w:rPr>
          <w:b/>
          <w:color w:val="000000"/>
          <w:szCs w:val="24"/>
          <w:lang w:val="ro-RO"/>
        </w:rPr>
      </w:pPr>
    </w:p>
    <w:p w14:paraId="14F30585" w14:textId="7143DE79" w:rsidR="00392DB4" w:rsidRPr="007A7D7B" w:rsidRDefault="00E7647A" w:rsidP="00392DB4">
      <w:pPr>
        <w:rPr>
          <w:b/>
          <w:color w:val="000000"/>
          <w:szCs w:val="24"/>
          <w:lang w:val="ro-RO"/>
        </w:rPr>
      </w:pPr>
      <w:r w:rsidRPr="007A7D7B">
        <w:rPr>
          <w:b/>
          <w:color w:val="000000"/>
          <w:szCs w:val="24"/>
          <w:lang w:val="ro-RO"/>
        </w:rPr>
        <w:t xml:space="preserve">Gheorghe </w:t>
      </w:r>
      <w:r w:rsidR="00392DB4" w:rsidRPr="007A7D7B">
        <w:rPr>
          <w:b/>
          <w:color w:val="000000"/>
          <w:szCs w:val="24"/>
          <w:lang w:val="ro-RO"/>
        </w:rPr>
        <w:t>CONSTANTIN, DIRECTOR GENERAL ADJUNCT</w:t>
      </w:r>
    </w:p>
    <w:p w14:paraId="4A2774F7" w14:textId="77777777" w:rsidR="00392DB4" w:rsidRPr="007A7D7B" w:rsidRDefault="00392DB4" w:rsidP="00392DB4">
      <w:pPr>
        <w:jc w:val="center"/>
        <w:rPr>
          <w:b/>
          <w:color w:val="000000"/>
          <w:szCs w:val="24"/>
          <w:lang w:val="ro-RO"/>
        </w:rPr>
      </w:pPr>
    </w:p>
    <w:p w14:paraId="48FC8C17" w14:textId="77777777" w:rsidR="00392DB4" w:rsidRPr="007A7D7B" w:rsidRDefault="00392DB4" w:rsidP="00392DB4">
      <w:pPr>
        <w:jc w:val="center"/>
        <w:rPr>
          <w:b/>
          <w:color w:val="000000"/>
          <w:szCs w:val="24"/>
          <w:lang w:val="ro-RO"/>
        </w:rPr>
      </w:pPr>
    </w:p>
    <w:p w14:paraId="1891778A" w14:textId="77777777" w:rsidR="00392DB4" w:rsidRPr="007A7D7B" w:rsidRDefault="00392DB4" w:rsidP="00392DB4">
      <w:pPr>
        <w:jc w:val="center"/>
        <w:rPr>
          <w:b/>
          <w:color w:val="000000"/>
          <w:szCs w:val="24"/>
          <w:lang w:val="ro-RO"/>
        </w:rPr>
      </w:pPr>
    </w:p>
    <w:p w14:paraId="1B972773" w14:textId="563FF4F9" w:rsidR="00392DB4" w:rsidRPr="007A7D7B" w:rsidRDefault="00392DB4" w:rsidP="00392DB4">
      <w:pPr>
        <w:rPr>
          <w:b/>
          <w:color w:val="000000"/>
          <w:szCs w:val="24"/>
          <w:lang w:val="ro-RO"/>
        </w:rPr>
      </w:pPr>
      <w:proofErr w:type="spellStart"/>
      <w:r w:rsidRPr="007A7D7B">
        <w:rPr>
          <w:b/>
          <w:color w:val="000000"/>
          <w:szCs w:val="24"/>
          <w:lang w:val="ro-RO"/>
        </w:rPr>
        <w:t>Altan</w:t>
      </w:r>
      <w:proofErr w:type="spellEnd"/>
      <w:r w:rsidRPr="007A7D7B">
        <w:rPr>
          <w:b/>
          <w:color w:val="000000"/>
          <w:szCs w:val="24"/>
          <w:lang w:val="ro-RO"/>
        </w:rPr>
        <w:t xml:space="preserve"> ABDULAMIT, ȘEF SERVICIU</w:t>
      </w:r>
    </w:p>
    <w:p w14:paraId="10D11922" w14:textId="77777777" w:rsidR="00392DB4" w:rsidRPr="007A7D7B" w:rsidRDefault="00392DB4" w:rsidP="00392DB4">
      <w:pPr>
        <w:jc w:val="center"/>
        <w:rPr>
          <w:b/>
          <w:color w:val="000000"/>
          <w:szCs w:val="24"/>
          <w:lang w:val="ro-RO"/>
        </w:rPr>
      </w:pPr>
    </w:p>
    <w:p w14:paraId="27F23941" w14:textId="77777777" w:rsidR="00906654" w:rsidRPr="007A7D7B" w:rsidRDefault="00906654" w:rsidP="00906654">
      <w:pPr>
        <w:rPr>
          <w:rFonts w:eastAsia="Times New Roman"/>
          <w:b/>
          <w:noProof/>
          <w:color w:val="000000"/>
          <w:szCs w:val="24"/>
          <w:lang w:val="ro-RO"/>
        </w:rPr>
      </w:pPr>
    </w:p>
    <w:p w14:paraId="1DAEC6F7" w14:textId="77777777" w:rsidR="00392DB4" w:rsidRPr="007A7D7B" w:rsidRDefault="00392DB4" w:rsidP="00906654">
      <w:pPr>
        <w:rPr>
          <w:rFonts w:eastAsia="Times New Roman"/>
          <w:b/>
          <w:noProof/>
          <w:color w:val="000000"/>
          <w:szCs w:val="24"/>
          <w:lang w:val="ro-RO"/>
        </w:rPr>
      </w:pPr>
    </w:p>
    <w:p w14:paraId="4500FA8B" w14:textId="77777777" w:rsidR="00392DB4" w:rsidRPr="007A7D7B" w:rsidRDefault="00392DB4" w:rsidP="00392DB4">
      <w:pPr>
        <w:rPr>
          <w:b/>
          <w:color w:val="000000"/>
          <w:szCs w:val="24"/>
          <w:lang w:val="ro-RO"/>
        </w:rPr>
      </w:pPr>
      <w:r w:rsidRPr="007A7D7B">
        <w:rPr>
          <w:b/>
          <w:color w:val="000000"/>
          <w:szCs w:val="24"/>
          <w:lang w:val="ro-RO"/>
        </w:rPr>
        <w:t>Întocmit:      Ramona IONICĂ-MIHĂILESCU</w:t>
      </w:r>
    </w:p>
    <w:p w14:paraId="7B8D41C0" w14:textId="1FA3B975" w:rsidR="00002E8E" w:rsidRPr="007A7D7B" w:rsidRDefault="00392DB4">
      <w:pPr>
        <w:rPr>
          <w:b/>
          <w:color w:val="000000"/>
          <w:szCs w:val="24"/>
          <w:lang w:val="ro-RO"/>
        </w:rPr>
      </w:pPr>
      <w:r w:rsidRPr="007A7D7B">
        <w:rPr>
          <w:b/>
          <w:color w:val="000000"/>
          <w:szCs w:val="24"/>
          <w:lang w:val="ro-RO"/>
        </w:rPr>
        <w:t xml:space="preserve">                    Adrian PANTEA</w:t>
      </w:r>
    </w:p>
    <w:sectPr w:rsidR="00002E8E" w:rsidRPr="007A7D7B" w:rsidSect="0017007B">
      <w:headerReference w:type="even" r:id="rId12"/>
      <w:headerReference w:type="default" r:id="rId13"/>
      <w:footerReference w:type="default" r:id="rId14"/>
      <w:headerReference w:type="first" r:id="rId15"/>
      <w:pgSz w:w="11906" w:h="16838" w:code="9"/>
      <w:pgMar w:top="54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039C" w14:textId="77777777" w:rsidR="00292AEF" w:rsidRDefault="00292AEF" w:rsidP="00A91EA2">
      <w:r>
        <w:separator/>
      </w:r>
    </w:p>
  </w:endnote>
  <w:endnote w:type="continuationSeparator" w:id="0">
    <w:p w14:paraId="6723CCCF" w14:textId="77777777" w:rsidR="00292AEF" w:rsidRDefault="00292AEF" w:rsidP="00A91EA2">
      <w:r>
        <w:continuationSeparator/>
      </w:r>
    </w:p>
  </w:endnote>
  <w:endnote w:type="continuationNotice" w:id="1">
    <w:p w14:paraId="1CA0FFD9" w14:textId="77777777" w:rsidR="00292AEF" w:rsidRDefault="00292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74D" w14:textId="77777777" w:rsidR="00D539DA" w:rsidRDefault="00D5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BE65" w14:textId="77777777" w:rsidR="00292AEF" w:rsidRDefault="00292AEF" w:rsidP="00A91EA2">
      <w:r>
        <w:separator/>
      </w:r>
    </w:p>
  </w:footnote>
  <w:footnote w:type="continuationSeparator" w:id="0">
    <w:p w14:paraId="2BC673DC" w14:textId="77777777" w:rsidR="00292AEF" w:rsidRDefault="00292AEF" w:rsidP="00A91EA2">
      <w:r>
        <w:continuationSeparator/>
      </w:r>
    </w:p>
  </w:footnote>
  <w:footnote w:type="continuationNotice" w:id="1">
    <w:p w14:paraId="76C89FCB" w14:textId="77777777" w:rsidR="00292AEF" w:rsidRDefault="00292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2FB9" w14:textId="77777777" w:rsidR="00A91EA2" w:rsidRDefault="00000000">
    <w:pPr>
      <w:pStyle w:val="Header"/>
    </w:pPr>
    <w:r>
      <w:rPr>
        <w:noProof/>
      </w:rPr>
      <w:pict w14:anchorId="448EA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448766" o:spid="_x0000_s1031" type="#_x0000_t136" style="position:absolute;left:0;text-align:left;margin-left:0;margin-top:0;width:531.15pt;height:151.75pt;rotation:315;z-index:-251658239;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8A9B" w14:textId="77777777" w:rsidR="00A91EA2" w:rsidRDefault="00000000">
    <w:pPr>
      <w:pStyle w:val="Header"/>
    </w:pPr>
    <w:r>
      <w:rPr>
        <w:noProof/>
      </w:rPr>
      <w:pict w14:anchorId="30434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448767" o:spid="_x0000_s1032" type="#_x0000_t136" style="position:absolute;left:0;text-align:left;margin-left:0;margin-top:0;width:531.15pt;height:151.75pt;rotation:315;z-index:-25165823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4C10" w14:textId="77777777" w:rsidR="00A91EA2" w:rsidRDefault="00000000">
    <w:pPr>
      <w:pStyle w:val="Header"/>
    </w:pPr>
    <w:r>
      <w:rPr>
        <w:noProof/>
      </w:rPr>
      <w:pict w14:anchorId="20D6E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448765" o:spid="_x0000_s1033" type="#_x0000_t136" style="position:absolute;left:0;text-align:left;margin-left:0;margin-top:0;width:531.15pt;height:151.75pt;rotation:315;z-index:-25165824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3E0D"/>
    <w:multiLevelType w:val="hybridMultilevel"/>
    <w:tmpl w:val="663A2E7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14D26995"/>
    <w:multiLevelType w:val="hybridMultilevel"/>
    <w:tmpl w:val="80D6F5D2"/>
    <w:lvl w:ilvl="0" w:tplc="0A0A685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AEBD0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60818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8CF09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E44DE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3CA3C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8252F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18E36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9C51D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5AC2F55"/>
    <w:multiLevelType w:val="hybridMultilevel"/>
    <w:tmpl w:val="FF24CBB4"/>
    <w:lvl w:ilvl="0" w:tplc="4FEA2B56">
      <w:start w:val="1"/>
      <w:numFmt w:val="upperLetter"/>
      <w:lvlText w:val="%1."/>
      <w:lvlJc w:val="left"/>
      <w:pPr>
        <w:tabs>
          <w:tab w:val="num" w:pos="720"/>
        </w:tabs>
        <w:ind w:left="720" w:hanging="360"/>
      </w:pPr>
    </w:lvl>
    <w:lvl w:ilvl="1" w:tplc="F912E698" w:tentative="1">
      <w:start w:val="1"/>
      <w:numFmt w:val="upperLetter"/>
      <w:lvlText w:val="%2."/>
      <w:lvlJc w:val="left"/>
      <w:pPr>
        <w:tabs>
          <w:tab w:val="num" w:pos="1440"/>
        </w:tabs>
        <w:ind w:left="1440" w:hanging="360"/>
      </w:pPr>
    </w:lvl>
    <w:lvl w:ilvl="2" w:tplc="D130B1FE" w:tentative="1">
      <w:start w:val="1"/>
      <w:numFmt w:val="upperLetter"/>
      <w:lvlText w:val="%3."/>
      <w:lvlJc w:val="left"/>
      <w:pPr>
        <w:tabs>
          <w:tab w:val="num" w:pos="2160"/>
        </w:tabs>
        <w:ind w:left="2160" w:hanging="360"/>
      </w:pPr>
    </w:lvl>
    <w:lvl w:ilvl="3" w:tplc="DB141C1E" w:tentative="1">
      <w:start w:val="1"/>
      <w:numFmt w:val="upperLetter"/>
      <w:lvlText w:val="%4."/>
      <w:lvlJc w:val="left"/>
      <w:pPr>
        <w:tabs>
          <w:tab w:val="num" w:pos="2880"/>
        </w:tabs>
        <w:ind w:left="2880" w:hanging="360"/>
      </w:pPr>
    </w:lvl>
    <w:lvl w:ilvl="4" w:tplc="0D68AA12" w:tentative="1">
      <w:start w:val="1"/>
      <w:numFmt w:val="upperLetter"/>
      <w:lvlText w:val="%5."/>
      <w:lvlJc w:val="left"/>
      <w:pPr>
        <w:tabs>
          <w:tab w:val="num" w:pos="3600"/>
        </w:tabs>
        <w:ind w:left="3600" w:hanging="360"/>
      </w:pPr>
    </w:lvl>
    <w:lvl w:ilvl="5" w:tplc="F4F6308A" w:tentative="1">
      <w:start w:val="1"/>
      <w:numFmt w:val="upperLetter"/>
      <w:lvlText w:val="%6."/>
      <w:lvlJc w:val="left"/>
      <w:pPr>
        <w:tabs>
          <w:tab w:val="num" w:pos="4320"/>
        </w:tabs>
        <w:ind w:left="4320" w:hanging="360"/>
      </w:pPr>
    </w:lvl>
    <w:lvl w:ilvl="6" w:tplc="A0A0B1B0" w:tentative="1">
      <w:start w:val="1"/>
      <w:numFmt w:val="upperLetter"/>
      <w:lvlText w:val="%7."/>
      <w:lvlJc w:val="left"/>
      <w:pPr>
        <w:tabs>
          <w:tab w:val="num" w:pos="5040"/>
        </w:tabs>
        <w:ind w:left="5040" w:hanging="360"/>
      </w:pPr>
    </w:lvl>
    <w:lvl w:ilvl="7" w:tplc="60B68BB8" w:tentative="1">
      <w:start w:val="1"/>
      <w:numFmt w:val="upperLetter"/>
      <w:lvlText w:val="%8."/>
      <w:lvlJc w:val="left"/>
      <w:pPr>
        <w:tabs>
          <w:tab w:val="num" w:pos="5760"/>
        </w:tabs>
        <w:ind w:left="5760" w:hanging="360"/>
      </w:pPr>
    </w:lvl>
    <w:lvl w:ilvl="8" w:tplc="8F902314" w:tentative="1">
      <w:start w:val="1"/>
      <w:numFmt w:val="upperLetter"/>
      <w:lvlText w:val="%9."/>
      <w:lvlJc w:val="left"/>
      <w:pPr>
        <w:tabs>
          <w:tab w:val="num" w:pos="6480"/>
        </w:tabs>
        <w:ind w:left="6480" w:hanging="360"/>
      </w:pPr>
    </w:lvl>
  </w:abstractNum>
  <w:abstractNum w:abstractNumId="3" w15:restartNumberingAfterBreak="0">
    <w:nsid w:val="1AFD0522"/>
    <w:multiLevelType w:val="hybridMultilevel"/>
    <w:tmpl w:val="545E1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571614"/>
    <w:multiLevelType w:val="hybridMultilevel"/>
    <w:tmpl w:val="CA6E6F82"/>
    <w:lvl w:ilvl="0" w:tplc="24A2A42C">
      <w:start w:val="1"/>
      <w:numFmt w:val="lowerRoman"/>
      <w:lvlText w:val="(%1)"/>
      <w:lvlJc w:val="left"/>
      <w:pPr>
        <w:ind w:left="1824" w:hanging="720"/>
      </w:pPr>
      <w:rPr>
        <w:rFonts w:hint="default"/>
      </w:rPr>
    </w:lvl>
    <w:lvl w:ilvl="1" w:tplc="04180019" w:tentative="1">
      <w:start w:val="1"/>
      <w:numFmt w:val="lowerLetter"/>
      <w:lvlText w:val="%2."/>
      <w:lvlJc w:val="left"/>
      <w:pPr>
        <w:ind w:left="2184" w:hanging="360"/>
      </w:pPr>
    </w:lvl>
    <w:lvl w:ilvl="2" w:tplc="0418001B" w:tentative="1">
      <w:start w:val="1"/>
      <w:numFmt w:val="lowerRoman"/>
      <w:lvlText w:val="%3."/>
      <w:lvlJc w:val="right"/>
      <w:pPr>
        <w:ind w:left="2904" w:hanging="180"/>
      </w:pPr>
    </w:lvl>
    <w:lvl w:ilvl="3" w:tplc="0418000F" w:tentative="1">
      <w:start w:val="1"/>
      <w:numFmt w:val="decimal"/>
      <w:lvlText w:val="%4."/>
      <w:lvlJc w:val="left"/>
      <w:pPr>
        <w:ind w:left="3624" w:hanging="360"/>
      </w:pPr>
    </w:lvl>
    <w:lvl w:ilvl="4" w:tplc="04180019" w:tentative="1">
      <w:start w:val="1"/>
      <w:numFmt w:val="lowerLetter"/>
      <w:lvlText w:val="%5."/>
      <w:lvlJc w:val="left"/>
      <w:pPr>
        <w:ind w:left="4344" w:hanging="360"/>
      </w:pPr>
    </w:lvl>
    <w:lvl w:ilvl="5" w:tplc="0418001B" w:tentative="1">
      <w:start w:val="1"/>
      <w:numFmt w:val="lowerRoman"/>
      <w:lvlText w:val="%6."/>
      <w:lvlJc w:val="right"/>
      <w:pPr>
        <w:ind w:left="5064" w:hanging="180"/>
      </w:pPr>
    </w:lvl>
    <w:lvl w:ilvl="6" w:tplc="0418000F" w:tentative="1">
      <w:start w:val="1"/>
      <w:numFmt w:val="decimal"/>
      <w:lvlText w:val="%7."/>
      <w:lvlJc w:val="left"/>
      <w:pPr>
        <w:ind w:left="5784" w:hanging="360"/>
      </w:pPr>
    </w:lvl>
    <w:lvl w:ilvl="7" w:tplc="04180019" w:tentative="1">
      <w:start w:val="1"/>
      <w:numFmt w:val="lowerLetter"/>
      <w:lvlText w:val="%8."/>
      <w:lvlJc w:val="left"/>
      <w:pPr>
        <w:ind w:left="6504" w:hanging="360"/>
      </w:pPr>
    </w:lvl>
    <w:lvl w:ilvl="8" w:tplc="0418001B" w:tentative="1">
      <w:start w:val="1"/>
      <w:numFmt w:val="lowerRoman"/>
      <w:lvlText w:val="%9."/>
      <w:lvlJc w:val="right"/>
      <w:pPr>
        <w:ind w:left="7224" w:hanging="180"/>
      </w:pPr>
    </w:lvl>
  </w:abstractNum>
  <w:abstractNum w:abstractNumId="5" w15:restartNumberingAfterBreak="0">
    <w:nsid w:val="1EEC06B5"/>
    <w:multiLevelType w:val="hybridMultilevel"/>
    <w:tmpl w:val="2018A29C"/>
    <w:lvl w:ilvl="0" w:tplc="AC48CC42">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9731F"/>
    <w:multiLevelType w:val="hybridMultilevel"/>
    <w:tmpl w:val="6CDCCE00"/>
    <w:lvl w:ilvl="0" w:tplc="5B6A626A">
      <w:start w:val="1"/>
      <w:numFmt w:val="lowerLetter"/>
      <w:lvlText w:val="%1)"/>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CEBD0E">
      <w:start w:val="1"/>
      <w:numFmt w:val="lowerLetter"/>
      <w:lvlText w:val="%2"/>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B2B2F8">
      <w:start w:val="1"/>
      <w:numFmt w:val="lowerRoman"/>
      <w:lvlText w:val="%3"/>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D01E78">
      <w:start w:val="1"/>
      <w:numFmt w:val="decimal"/>
      <w:lvlText w:val="%4"/>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1CC826">
      <w:start w:val="1"/>
      <w:numFmt w:val="lowerLetter"/>
      <w:lvlText w:val="%5"/>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8C8A50">
      <w:start w:val="1"/>
      <w:numFmt w:val="lowerRoman"/>
      <w:lvlText w:val="%6"/>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CCF94C">
      <w:start w:val="1"/>
      <w:numFmt w:val="decimal"/>
      <w:lvlText w:val="%7"/>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987378">
      <w:start w:val="1"/>
      <w:numFmt w:val="lowerLetter"/>
      <w:lvlText w:val="%8"/>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C62D14">
      <w:start w:val="1"/>
      <w:numFmt w:val="lowerRoman"/>
      <w:lvlText w:val="%9"/>
      <w:lvlJc w:val="left"/>
      <w:pPr>
        <w:ind w:left="6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2A8F7DCD"/>
    <w:multiLevelType w:val="hybridMultilevel"/>
    <w:tmpl w:val="DBC836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43B54"/>
    <w:multiLevelType w:val="hybridMultilevel"/>
    <w:tmpl w:val="65F845B8"/>
    <w:lvl w:ilvl="0" w:tplc="FF68C760">
      <w:start w:val="1"/>
      <w:numFmt w:val="bullet"/>
      <w:lvlText w:val="-"/>
      <w:lvlJc w:val="left"/>
      <w:pPr>
        <w:tabs>
          <w:tab w:val="num" w:pos="720"/>
        </w:tabs>
        <w:ind w:left="720" w:hanging="360"/>
      </w:pPr>
      <w:rPr>
        <w:rFonts w:ascii="Calibri" w:hAnsi="Calibri" w:hint="default"/>
      </w:rPr>
    </w:lvl>
    <w:lvl w:ilvl="1" w:tplc="4B823812">
      <w:start w:val="1"/>
      <w:numFmt w:val="bullet"/>
      <w:lvlText w:val="-"/>
      <w:lvlJc w:val="left"/>
      <w:pPr>
        <w:tabs>
          <w:tab w:val="num" w:pos="1440"/>
        </w:tabs>
        <w:ind w:left="1440" w:hanging="360"/>
      </w:pPr>
      <w:rPr>
        <w:rFonts w:ascii="Calibri" w:hAnsi="Calibri" w:hint="default"/>
      </w:rPr>
    </w:lvl>
    <w:lvl w:ilvl="2" w:tplc="6F5C9568" w:tentative="1">
      <w:start w:val="1"/>
      <w:numFmt w:val="bullet"/>
      <w:lvlText w:val="-"/>
      <w:lvlJc w:val="left"/>
      <w:pPr>
        <w:tabs>
          <w:tab w:val="num" w:pos="2160"/>
        </w:tabs>
        <w:ind w:left="2160" w:hanging="360"/>
      </w:pPr>
      <w:rPr>
        <w:rFonts w:ascii="Calibri" w:hAnsi="Calibri" w:hint="default"/>
      </w:rPr>
    </w:lvl>
    <w:lvl w:ilvl="3" w:tplc="326829E4" w:tentative="1">
      <w:start w:val="1"/>
      <w:numFmt w:val="bullet"/>
      <w:lvlText w:val="-"/>
      <w:lvlJc w:val="left"/>
      <w:pPr>
        <w:tabs>
          <w:tab w:val="num" w:pos="2880"/>
        </w:tabs>
        <w:ind w:left="2880" w:hanging="360"/>
      </w:pPr>
      <w:rPr>
        <w:rFonts w:ascii="Calibri" w:hAnsi="Calibri" w:hint="default"/>
      </w:rPr>
    </w:lvl>
    <w:lvl w:ilvl="4" w:tplc="841CA06A" w:tentative="1">
      <w:start w:val="1"/>
      <w:numFmt w:val="bullet"/>
      <w:lvlText w:val="-"/>
      <w:lvlJc w:val="left"/>
      <w:pPr>
        <w:tabs>
          <w:tab w:val="num" w:pos="3600"/>
        </w:tabs>
        <w:ind w:left="3600" w:hanging="360"/>
      </w:pPr>
      <w:rPr>
        <w:rFonts w:ascii="Calibri" w:hAnsi="Calibri" w:hint="default"/>
      </w:rPr>
    </w:lvl>
    <w:lvl w:ilvl="5" w:tplc="6930C722" w:tentative="1">
      <w:start w:val="1"/>
      <w:numFmt w:val="bullet"/>
      <w:lvlText w:val="-"/>
      <w:lvlJc w:val="left"/>
      <w:pPr>
        <w:tabs>
          <w:tab w:val="num" w:pos="4320"/>
        </w:tabs>
        <w:ind w:left="4320" w:hanging="360"/>
      </w:pPr>
      <w:rPr>
        <w:rFonts w:ascii="Calibri" w:hAnsi="Calibri" w:hint="default"/>
      </w:rPr>
    </w:lvl>
    <w:lvl w:ilvl="6" w:tplc="10D03868" w:tentative="1">
      <w:start w:val="1"/>
      <w:numFmt w:val="bullet"/>
      <w:lvlText w:val="-"/>
      <w:lvlJc w:val="left"/>
      <w:pPr>
        <w:tabs>
          <w:tab w:val="num" w:pos="5040"/>
        </w:tabs>
        <w:ind w:left="5040" w:hanging="360"/>
      </w:pPr>
      <w:rPr>
        <w:rFonts w:ascii="Calibri" w:hAnsi="Calibri" w:hint="default"/>
      </w:rPr>
    </w:lvl>
    <w:lvl w:ilvl="7" w:tplc="6D1EB238" w:tentative="1">
      <w:start w:val="1"/>
      <w:numFmt w:val="bullet"/>
      <w:lvlText w:val="-"/>
      <w:lvlJc w:val="left"/>
      <w:pPr>
        <w:tabs>
          <w:tab w:val="num" w:pos="5760"/>
        </w:tabs>
        <w:ind w:left="5760" w:hanging="360"/>
      </w:pPr>
      <w:rPr>
        <w:rFonts w:ascii="Calibri" w:hAnsi="Calibri" w:hint="default"/>
      </w:rPr>
    </w:lvl>
    <w:lvl w:ilvl="8" w:tplc="87D2EB9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04509F3"/>
    <w:multiLevelType w:val="multilevel"/>
    <w:tmpl w:val="CC6E1B76"/>
    <w:lvl w:ilvl="0">
      <w:start w:val="4"/>
      <w:numFmt w:val="decimal"/>
      <w:lvlText w:val="%1"/>
      <w:lvlJc w:val="left"/>
      <w:pPr>
        <w:ind w:left="837" w:hanging="720"/>
      </w:pPr>
      <w:rPr>
        <w:rFonts w:hint="default"/>
        <w:lang w:val="ro-RO" w:eastAsia="en-US" w:bidi="ar-SA"/>
      </w:rPr>
    </w:lvl>
    <w:lvl w:ilvl="1">
      <w:start w:val="1"/>
      <w:numFmt w:val="decimal"/>
      <w:lvlText w:val="%1.%2"/>
      <w:lvlJc w:val="left"/>
      <w:pPr>
        <w:ind w:left="837" w:hanging="720"/>
      </w:pPr>
      <w:rPr>
        <w:rFonts w:hint="default"/>
        <w:lang w:val="ro-RO" w:eastAsia="en-US" w:bidi="ar-SA"/>
      </w:rPr>
    </w:lvl>
    <w:lvl w:ilvl="2">
      <w:start w:val="1"/>
      <w:numFmt w:val="decimal"/>
      <w:lvlText w:val="%1.%2.%3."/>
      <w:lvlJc w:val="left"/>
      <w:pPr>
        <w:ind w:left="837" w:hanging="720"/>
      </w:pPr>
      <w:rPr>
        <w:rFonts w:ascii="Calibri Light" w:eastAsia="Calibri Light" w:hAnsi="Calibri Light" w:cs="Calibri Light" w:hint="default"/>
        <w:b w:val="0"/>
        <w:bCs w:val="0"/>
        <w:i w:val="0"/>
        <w:iCs w:val="0"/>
        <w:color w:val="0076BC"/>
        <w:spacing w:val="-1"/>
        <w:w w:val="100"/>
        <w:sz w:val="24"/>
        <w:szCs w:val="24"/>
        <w:lang w:val="ro-RO" w:eastAsia="en-US" w:bidi="ar-SA"/>
      </w:rPr>
    </w:lvl>
    <w:lvl w:ilvl="3">
      <w:numFmt w:val="bullet"/>
      <w:lvlText w:val=""/>
      <w:lvlJc w:val="left"/>
      <w:pPr>
        <w:ind w:left="837" w:hanging="360"/>
      </w:pPr>
      <w:rPr>
        <w:rFonts w:ascii="Symbol" w:eastAsia="Symbol" w:hAnsi="Symbol" w:cs="Symbol" w:hint="default"/>
        <w:b w:val="0"/>
        <w:bCs w:val="0"/>
        <w:i w:val="0"/>
        <w:iCs w:val="0"/>
        <w:w w:val="100"/>
        <w:sz w:val="22"/>
        <w:szCs w:val="22"/>
        <w:lang w:val="ro-RO" w:eastAsia="en-US" w:bidi="ar-SA"/>
      </w:rPr>
    </w:lvl>
    <w:lvl w:ilvl="4">
      <w:numFmt w:val="bullet"/>
      <w:lvlText w:val="o"/>
      <w:lvlJc w:val="left"/>
      <w:pPr>
        <w:ind w:left="1557" w:hanging="360"/>
      </w:pPr>
      <w:rPr>
        <w:rFonts w:ascii="Courier New" w:eastAsia="Courier New" w:hAnsi="Courier New" w:cs="Courier New" w:hint="default"/>
        <w:b w:val="0"/>
        <w:bCs w:val="0"/>
        <w:i w:val="0"/>
        <w:iCs w:val="0"/>
        <w:w w:val="100"/>
        <w:sz w:val="22"/>
        <w:szCs w:val="22"/>
        <w:lang w:val="ro-RO" w:eastAsia="en-US" w:bidi="ar-SA"/>
      </w:rPr>
    </w:lvl>
    <w:lvl w:ilvl="5">
      <w:numFmt w:val="bullet"/>
      <w:lvlText w:val="•"/>
      <w:lvlJc w:val="left"/>
      <w:pPr>
        <w:ind w:left="5186" w:hanging="360"/>
      </w:pPr>
      <w:rPr>
        <w:rFonts w:hint="default"/>
        <w:lang w:val="ro-RO" w:eastAsia="en-US" w:bidi="ar-SA"/>
      </w:rPr>
    </w:lvl>
    <w:lvl w:ilvl="6">
      <w:numFmt w:val="bullet"/>
      <w:lvlText w:val="•"/>
      <w:lvlJc w:val="left"/>
      <w:pPr>
        <w:ind w:left="6092" w:hanging="360"/>
      </w:pPr>
      <w:rPr>
        <w:rFonts w:hint="default"/>
        <w:lang w:val="ro-RO" w:eastAsia="en-US" w:bidi="ar-SA"/>
      </w:rPr>
    </w:lvl>
    <w:lvl w:ilvl="7">
      <w:numFmt w:val="bullet"/>
      <w:lvlText w:val="•"/>
      <w:lvlJc w:val="left"/>
      <w:pPr>
        <w:ind w:left="6999" w:hanging="360"/>
      </w:pPr>
      <w:rPr>
        <w:rFonts w:hint="default"/>
        <w:lang w:val="ro-RO" w:eastAsia="en-US" w:bidi="ar-SA"/>
      </w:rPr>
    </w:lvl>
    <w:lvl w:ilvl="8">
      <w:numFmt w:val="bullet"/>
      <w:lvlText w:val="•"/>
      <w:lvlJc w:val="left"/>
      <w:pPr>
        <w:ind w:left="7906" w:hanging="360"/>
      </w:pPr>
      <w:rPr>
        <w:rFonts w:hint="default"/>
        <w:lang w:val="ro-RO" w:eastAsia="en-US" w:bidi="ar-SA"/>
      </w:rPr>
    </w:lvl>
  </w:abstractNum>
  <w:abstractNum w:abstractNumId="11" w15:restartNumberingAfterBreak="0">
    <w:nsid w:val="347E0018"/>
    <w:multiLevelType w:val="hybridMultilevel"/>
    <w:tmpl w:val="699E5330"/>
    <w:lvl w:ilvl="0" w:tplc="B084453E">
      <w:start w:val="1"/>
      <w:numFmt w:val="decimal"/>
      <w:lvlText w:val="%1."/>
      <w:lvlJc w:val="left"/>
      <w:pPr>
        <w:ind w:left="1077" w:hanging="360"/>
      </w:pPr>
      <w:rPr>
        <w:rFonts w:hint="default"/>
        <w:w w:val="100"/>
        <w:lang w:val="ro-RO" w:eastAsia="en-US" w:bidi="ar-SA"/>
      </w:rPr>
    </w:lvl>
    <w:lvl w:ilvl="1" w:tplc="D86A1028">
      <w:numFmt w:val="bullet"/>
      <w:lvlText w:val="•"/>
      <w:lvlJc w:val="left"/>
      <w:pPr>
        <w:ind w:left="1983" w:hanging="360"/>
      </w:pPr>
      <w:rPr>
        <w:rFonts w:hint="default"/>
        <w:lang w:val="ro-RO" w:eastAsia="en-US" w:bidi="ar-SA"/>
      </w:rPr>
    </w:lvl>
    <w:lvl w:ilvl="2" w:tplc="47C26090">
      <w:numFmt w:val="bullet"/>
      <w:lvlText w:val="•"/>
      <w:lvlJc w:val="left"/>
      <w:pPr>
        <w:ind w:left="2887" w:hanging="360"/>
      </w:pPr>
      <w:rPr>
        <w:rFonts w:hint="default"/>
        <w:lang w:val="ro-RO" w:eastAsia="en-US" w:bidi="ar-SA"/>
      </w:rPr>
    </w:lvl>
    <w:lvl w:ilvl="3" w:tplc="010C78DC">
      <w:numFmt w:val="bullet"/>
      <w:lvlText w:val="•"/>
      <w:lvlJc w:val="left"/>
      <w:pPr>
        <w:ind w:left="3791" w:hanging="360"/>
      </w:pPr>
      <w:rPr>
        <w:rFonts w:hint="default"/>
        <w:lang w:val="ro-RO" w:eastAsia="en-US" w:bidi="ar-SA"/>
      </w:rPr>
    </w:lvl>
    <w:lvl w:ilvl="4" w:tplc="24565FA0">
      <w:numFmt w:val="bullet"/>
      <w:lvlText w:val="•"/>
      <w:lvlJc w:val="left"/>
      <w:pPr>
        <w:ind w:left="4695" w:hanging="360"/>
      </w:pPr>
      <w:rPr>
        <w:rFonts w:hint="default"/>
        <w:lang w:val="ro-RO" w:eastAsia="en-US" w:bidi="ar-SA"/>
      </w:rPr>
    </w:lvl>
    <w:lvl w:ilvl="5" w:tplc="F1700EC8">
      <w:numFmt w:val="bullet"/>
      <w:lvlText w:val="•"/>
      <w:lvlJc w:val="left"/>
      <w:pPr>
        <w:ind w:left="5599" w:hanging="360"/>
      </w:pPr>
      <w:rPr>
        <w:rFonts w:hint="default"/>
        <w:lang w:val="ro-RO" w:eastAsia="en-US" w:bidi="ar-SA"/>
      </w:rPr>
    </w:lvl>
    <w:lvl w:ilvl="6" w:tplc="535C880A">
      <w:numFmt w:val="bullet"/>
      <w:lvlText w:val="•"/>
      <w:lvlJc w:val="left"/>
      <w:pPr>
        <w:ind w:left="6503" w:hanging="360"/>
      </w:pPr>
      <w:rPr>
        <w:rFonts w:hint="default"/>
        <w:lang w:val="ro-RO" w:eastAsia="en-US" w:bidi="ar-SA"/>
      </w:rPr>
    </w:lvl>
    <w:lvl w:ilvl="7" w:tplc="59DE3088">
      <w:numFmt w:val="bullet"/>
      <w:lvlText w:val="•"/>
      <w:lvlJc w:val="left"/>
      <w:pPr>
        <w:ind w:left="7407" w:hanging="360"/>
      </w:pPr>
      <w:rPr>
        <w:rFonts w:hint="default"/>
        <w:lang w:val="ro-RO" w:eastAsia="en-US" w:bidi="ar-SA"/>
      </w:rPr>
    </w:lvl>
    <w:lvl w:ilvl="8" w:tplc="2A0204A2">
      <w:numFmt w:val="bullet"/>
      <w:lvlText w:val="•"/>
      <w:lvlJc w:val="left"/>
      <w:pPr>
        <w:ind w:left="8311" w:hanging="360"/>
      </w:pPr>
      <w:rPr>
        <w:rFonts w:hint="default"/>
        <w:lang w:val="ro-RO" w:eastAsia="en-US" w:bidi="ar-SA"/>
      </w:rPr>
    </w:lvl>
  </w:abstractNum>
  <w:abstractNum w:abstractNumId="12" w15:restartNumberingAfterBreak="0">
    <w:nsid w:val="34D03F2E"/>
    <w:multiLevelType w:val="hybridMultilevel"/>
    <w:tmpl w:val="25C2DF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FE73D94"/>
    <w:multiLevelType w:val="hybridMultilevel"/>
    <w:tmpl w:val="25C2DF38"/>
    <w:lvl w:ilvl="0" w:tplc="FFFFFFFF">
      <w:start w:val="1"/>
      <w:numFmt w:val="lowerLetter"/>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4" w15:restartNumberingAfterBreak="0">
    <w:nsid w:val="41947BC9"/>
    <w:multiLevelType w:val="multilevel"/>
    <w:tmpl w:val="BA44482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A2E0AD5"/>
    <w:multiLevelType w:val="hybridMultilevel"/>
    <w:tmpl w:val="8E3E4F90"/>
    <w:lvl w:ilvl="0" w:tplc="7A1A9AE2">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B1BA7"/>
    <w:multiLevelType w:val="multilevel"/>
    <w:tmpl w:val="37DC40CA"/>
    <w:lvl w:ilvl="0">
      <w:start w:val="4"/>
      <w:numFmt w:val="decimal"/>
      <w:lvlText w:val="%1"/>
      <w:lvlJc w:val="left"/>
      <w:pPr>
        <w:ind w:left="837" w:hanging="720"/>
      </w:pPr>
      <w:rPr>
        <w:rFonts w:hint="default"/>
        <w:lang w:val="ro-RO" w:eastAsia="en-US" w:bidi="ar-SA"/>
      </w:rPr>
    </w:lvl>
    <w:lvl w:ilvl="1">
      <w:start w:val="2"/>
      <w:numFmt w:val="decimal"/>
      <w:lvlText w:val="%1.%2."/>
      <w:lvlJc w:val="left"/>
      <w:pPr>
        <w:ind w:left="837" w:hanging="720"/>
      </w:pPr>
      <w:rPr>
        <w:rFonts w:ascii="Calibri Light" w:eastAsia="Calibri Light" w:hAnsi="Calibri Light" w:cs="Calibri Light" w:hint="default"/>
        <w:b w:val="0"/>
        <w:bCs w:val="0"/>
        <w:i w:val="0"/>
        <w:iCs w:val="0"/>
        <w:color w:val="0076BC"/>
        <w:w w:val="99"/>
        <w:sz w:val="26"/>
        <w:szCs w:val="26"/>
        <w:lang w:val="ro-RO" w:eastAsia="en-US" w:bidi="ar-SA"/>
      </w:rPr>
    </w:lvl>
    <w:lvl w:ilvl="2">
      <w:numFmt w:val="bullet"/>
      <w:lvlText w:val=""/>
      <w:lvlJc w:val="left"/>
      <w:pPr>
        <w:ind w:left="837" w:hanging="360"/>
      </w:pPr>
      <w:rPr>
        <w:rFonts w:ascii="Symbol" w:eastAsia="Symbol" w:hAnsi="Symbol" w:cs="Symbol" w:hint="default"/>
        <w:b w:val="0"/>
        <w:bCs w:val="0"/>
        <w:i w:val="0"/>
        <w:iCs w:val="0"/>
        <w:w w:val="100"/>
        <w:sz w:val="22"/>
        <w:szCs w:val="22"/>
        <w:lang w:val="ro-RO" w:eastAsia="en-US" w:bidi="ar-SA"/>
      </w:rPr>
    </w:lvl>
    <w:lvl w:ilvl="3">
      <w:numFmt w:val="bullet"/>
      <w:lvlText w:val="•"/>
      <w:lvlJc w:val="left"/>
      <w:pPr>
        <w:ind w:left="3503" w:hanging="360"/>
      </w:pPr>
      <w:rPr>
        <w:rFonts w:hint="default"/>
        <w:lang w:val="ro-RO" w:eastAsia="en-US" w:bidi="ar-SA"/>
      </w:rPr>
    </w:lvl>
    <w:lvl w:ilvl="4">
      <w:numFmt w:val="bullet"/>
      <w:lvlText w:val="•"/>
      <w:lvlJc w:val="left"/>
      <w:pPr>
        <w:ind w:left="4391" w:hanging="360"/>
      </w:pPr>
      <w:rPr>
        <w:rFonts w:hint="default"/>
        <w:lang w:val="ro-RO" w:eastAsia="en-US" w:bidi="ar-SA"/>
      </w:rPr>
    </w:lvl>
    <w:lvl w:ilvl="5">
      <w:numFmt w:val="bullet"/>
      <w:lvlText w:val="•"/>
      <w:lvlJc w:val="left"/>
      <w:pPr>
        <w:ind w:left="5279" w:hanging="360"/>
      </w:pPr>
      <w:rPr>
        <w:rFonts w:hint="default"/>
        <w:lang w:val="ro-RO" w:eastAsia="en-US" w:bidi="ar-SA"/>
      </w:rPr>
    </w:lvl>
    <w:lvl w:ilvl="6">
      <w:numFmt w:val="bullet"/>
      <w:lvlText w:val="•"/>
      <w:lvlJc w:val="left"/>
      <w:pPr>
        <w:ind w:left="6167" w:hanging="360"/>
      </w:pPr>
      <w:rPr>
        <w:rFonts w:hint="default"/>
        <w:lang w:val="ro-RO" w:eastAsia="en-US" w:bidi="ar-SA"/>
      </w:rPr>
    </w:lvl>
    <w:lvl w:ilvl="7">
      <w:numFmt w:val="bullet"/>
      <w:lvlText w:val="•"/>
      <w:lvlJc w:val="left"/>
      <w:pPr>
        <w:ind w:left="7055" w:hanging="360"/>
      </w:pPr>
      <w:rPr>
        <w:rFonts w:hint="default"/>
        <w:lang w:val="ro-RO" w:eastAsia="en-US" w:bidi="ar-SA"/>
      </w:rPr>
    </w:lvl>
    <w:lvl w:ilvl="8">
      <w:numFmt w:val="bullet"/>
      <w:lvlText w:val="•"/>
      <w:lvlJc w:val="left"/>
      <w:pPr>
        <w:ind w:left="7943" w:hanging="360"/>
      </w:pPr>
      <w:rPr>
        <w:rFonts w:hint="default"/>
        <w:lang w:val="ro-RO" w:eastAsia="en-US" w:bidi="ar-SA"/>
      </w:rPr>
    </w:lvl>
  </w:abstractNum>
  <w:abstractNum w:abstractNumId="17" w15:restartNumberingAfterBreak="0">
    <w:nsid w:val="5390068B"/>
    <w:multiLevelType w:val="hybridMultilevel"/>
    <w:tmpl w:val="4D6A39D8"/>
    <w:lvl w:ilvl="0" w:tplc="796A66A6">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24843E">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C6B45E">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F27EF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E40BB4">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DC630A">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E8FB60">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4462C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0AB896">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7B036E0"/>
    <w:multiLevelType w:val="hybridMultilevel"/>
    <w:tmpl w:val="CF0E041E"/>
    <w:lvl w:ilvl="0" w:tplc="32703914">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E0E1B51"/>
    <w:multiLevelType w:val="hybridMultilevel"/>
    <w:tmpl w:val="4C0CBF1A"/>
    <w:lvl w:ilvl="0" w:tplc="02CED31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723AB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84FEB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FA046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1E590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36C07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389F7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68FF2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A0CBD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03813EC"/>
    <w:multiLevelType w:val="hybridMultilevel"/>
    <w:tmpl w:val="093818C2"/>
    <w:lvl w:ilvl="0" w:tplc="130C0026">
      <w:start w:val="1"/>
      <w:numFmt w:val="lowerLetter"/>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0A29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64F1DC">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2A18B6">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450CA">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C871E8">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CAECB8">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C8B9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E408E2">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4A25FEA"/>
    <w:multiLevelType w:val="hybridMultilevel"/>
    <w:tmpl w:val="B8B80A0C"/>
    <w:lvl w:ilvl="0" w:tplc="E806F64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4C4202">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A6B27C">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28463C">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48D7FE">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A54F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64840C">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D6D2C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5C9C68">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56B0C3F"/>
    <w:multiLevelType w:val="hybridMultilevel"/>
    <w:tmpl w:val="FAF63A26"/>
    <w:lvl w:ilvl="0" w:tplc="BB24F35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684CD8"/>
    <w:multiLevelType w:val="hybridMultilevel"/>
    <w:tmpl w:val="5EFA201E"/>
    <w:lvl w:ilvl="0" w:tplc="65109EC0">
      <w:start w:val="1"/>
      <w:numFmt w:val="bullet"/>
      <w:lvlText w:val="-"/>
      <w:lvlJc w:val="left"/>
      <w:pPr>
        <w:tabs>
          <w:tab w:val="num" w:pos="720"/>
        </w:tabs>
        <w:ind w:left="720" w:hanging="360"/>
      </w:pPr>
      <w:rPr>
        <w:rFonts w:ascii="Arial" w:hAnsi="Arial" w:hint="default"/>
      </w:rPr>
    </w:lvl>
    <w:lvl w:ilvl="1" w:tplc="91D636A0" w:tentative="1">
      <w:start w:val="1"/>
      <w:numFmt w:val="bullet"/>
      <w:lvlText w:val="-"/>
      <w:lvlJc w:val="left"/>
      <w:pPr>
        <w:tabs>
          <w:tab w:val="num" w:pos="1440"/>
        </w:tabs>
        <w:ind w:left="1440" w:hanging="360"/>
      </w:pPr>
      <w:rPr>
        <w:rFonts w:ascii="Arial" w:hAnsi="Arial" w:hint="default"/>
      </w:rPr>
    </w:lvl>
    <w:lvl w:ilvl="2" w:tplc="E6C2278C" w:tentative="1">
      <w:start w:val="1"/>
      <w:numFmt w:val="bullet"/>
      <w:lvlText w:val="-"/>
      <w:lvlJc w:val="left"/>
      <w:pPr>
        <w:tabs>
          <w:tab w:val="num" w:pos="2160"/>
        </w:tabs>
        <w:ind w:left="2160" w:hanging="360"/>
      </w:pPr>
      <w:rPr>
        <w:rFonts w:ascii="Arial" w:hAnsi="Arial" w:hint="default"/>
      </w:rPr>
    </w:lvl>
    <w:lvl w:ilvl="3" w:tplc="68B42FFA" w:tentative="1">
      <w:start w:val="1"/>
      <w:numFmt w:val="bullet"/>
      <w:lvlText w:val="-"/>
      <w:lvlJc w:val="left"/>
      <w:pPr>
        <w:tabs>
          <w:tab w:val="num" w:pos="2880"/>
        </w:tabs>
        <w:ind w:left="2880" w:hanging="360"/>
      </w:pPr>
      <w:rPr>
        <w:rFonts w:ascii="Arial" w:hAnsi="Arial" w:hint="default"/>
      </w:rPr>
    </w:lvl>
    <w:lvl w:ilvl="4" w:tplc="F8FA38A0" w:tentative="1">
      <w:start w:val="1"/>
      <w:numFmt w:val="bullet"/>
      <w:lvlText w:val="-"/>
      <w:lvlJc w:val="left"/>
      <w:pPr>
        <w:tabs>
          <w:tab w:val="num" w:pos="3600"/>
        </w:tabs>
        <w:ind w:left="3600" w:hanging="360"/>
      </w:pPr>
      <w:rPr>
        <w:rFonts w:ascii="Arial" w:hAnsi="Arial" w:hint="default"/>
      </w:rPr>
    </w:lvl>
    <w:lvl w:ilvl="5" w:tplc="A07C3424" w:tentative="1">
      <w:start w:val="1"/>
      <w:numFmt w:val="bullet"/>
      <w:lvlText w:val="-"/>
      <w:lvlJc w:val="left"/>
      <w:pPr>
        <w:tabs>
          <w:tab w:val="num" w:pos="4320"/>
        </w:tabs>
        <w:ind w:left="4320" w:hanging="360"/>
      </w:pPr>
      <w:rPr>
        <w:rFonts w:ascii="Arial" w:hAnsi="Arial" w:hint="default"/>
      </w:rPr>
    </w:lvl>
    <w:lvl w:ilvl="6" w:tplc="B9208060" w:tentative="1">
      <w:start w:val="1"/>
      <w:numFmt w:val="bullet"/>
      <w:lvlText w:val="-"/>
      <w:lvlJc w:val="left"/>
      <w:pPr>
        <w:tabs>
          <w:tab w:val="num" w:pos="5040"/>
        </w:tabs>
        <w:ind w:left="5040" w:hanging="360"/>
      </w:pPr>
      <w:rPr>
        <w:rFonts w:ascii="Arial" w:hAnsi="Arial" w:hint="default"/>
      </w:rPr>
    </w:lvl>
    <w:lvl w:ilvl="7" w:tplc="6598128A" w:tentative="1">
      <w:start w:val="1"/>
      <w:numFmt w:val="bullet"/>
      <w:lvlText w:val="-"/>
      <w:lvlJc w:val="left"/>
      <w:pPr>
        <w:tabs>
          <w:tab w:val="num" w:pos="5760"/>
        </w:tabs>
        <w:ind w:left="5760" w:hanging="360"/>
      </w:pPr>
      <w:rPr>
        <w:rFonts w:ascii="Arial" w:hAnsi="Arial" w:hint="default"/>
      </w:rPr>
    </w:lvl>
    <w:lvl w:ilvl="8" w:tplc="BCA8F4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9C44AE"/>
    <w:multiLevelType w:val="hybridMultilevel"/>
    <w:tmpl w:val="327AE9D0"/>
    <w:lvl w:ilvl="0" w:tplc="8212962A">
      <w:start w:val="1"/>
      <w:numFmt w:val="bullet"/>
      <w:lvlText w:val="•"/>
      <w:lvlJc w:val="left"/>
      <w:pPr>
        <w:tabs>
          <w:tab w:val="num" w:pos="720"/>
        </w:tabs>
        <w:ind w:left="720" w:hanging="360"/>
      </w:pPr>
      <w:rPr>
        <w:rFonts w:ascii="Arial" w:hAnsi="Arial" w:hint="default"/>
      </w:rPr>
    </w:lvl>
    <w:lvl w:ilvl="1" w:tplc="51382C2A" w:tentative="1">
      <w:start w:val="1"/>
      <w:numFmt w:val="bullet"/>
      <w:lvlText w:val="•"/>
      <w:lvlJc w:val="left"/>
      <w:pPr>
        <w:tabs>
          <w:tab w:val="num" w:pos="1440"/>
        </w:tabs>
        <w:ind w:left="1440" w:hanging="360"/>
      </w:pPr>
      <w:rPr>
        <w:rFonts w:ascii="Arial" w:hAnsi="Arial" w:hint="default"/>
      </w:rPr>
    </w:lvl>
    <w:lvl w:ilvl="2" w:tplc="9E909EB8" w:tentative="1">
      <w:start w:val="1"/>
      <w:numFmt w:val="bullet"/>
      <w:lvlText w:val="•"/>
      <w:lvlJc w:val="left"/>
      <w:pPr>
        <w:tabs>
          <w:tab w:val="num" w:pos="2160"/>
        </w:tabs>
        <w:ind w:left="2160" w:hanging="360"/>
      </w:pPr>
      <w:rPr>
        <w:rFonts w:ascii="Arial" w:hAnsi="Arial" w:hint="default"/>
      </w:rPr>
    </w:lvl>
    <w:lvl w:ilvl="3" w:tplc="7DAE0016" w:tentative="1">
      <w:start w:val="1"/>
      <w:numFmt w:val="bullet"/>
      <w:lvlText w:val="•"/>
      <w:lvlJc w:val="left"/>
      <w:pPr>
        <w:tabs>
          <w:tab w:val="num" w:pos="2880"/>
        </w:tabs>
        <w:ind w:left="2880" w:hanging="360"/>
      </w:pPr>
      <w:rPr>
        <w:rFonts w:ascii="Arial" w:hAnsi="Arial" w:hint="default"/>
      </w:rPr>
    </w:lvl>
    <w:lvl w:ilvl="4" w:tplc="A15A7304" w:tentative="1">
      <w:start w:val="1"/>
      <w:numFmt w:val="bullet"/>
      <w:lvlText w:val="•"/>
      <w:lvlJc w:val="left"/>
      <w:pPr>
        <w:tabs>
          <w:tab w:val="num" w:pos="3600"/>
        </w:tabs>
        <w:ind w:left="3600" w:hanging="360"/>
      </w:pPr>
      <w:rPr>
        <w:rFonts w:ascii="Arial" w:hAnsi="Arial" w:hint="default"/>
      </w:rPr>
    </w:lvl>
    <w:lvl w:ilvl="5" w:tplc="F7DC36C6" w:tentative="1">
      <w:start w:val="1"/>
      <w:numFmt w:val="bullet"/>
      <w:lvlText w:val="•"/>
      <w:lvlJc w:val="left"/>
      <w:pPr>
        <w:tabs>
          <w:tab w:val="num" w:pos="4320"/>
        </w:tabs>
        <w:ind w:left="4320" w:hanging="360"/>
      </w:pPr>
      <w:rPr>
        <w:rFonts w:ascii="Arial" w:hAnsi="Arial" w:hint="default"/>
      </w:rPr>
    </w:lvl>
    <w:lvl w:ilvl="6" w:tplc="A3DEE790" w:tentative="1">
      <w:start w:val="1"/>
      <w:numFmt w:val="bullet"/>
      <w:lvlText w:val="•"/>
      <w:lvlJc w:val="left"/>
      <w:pPr>
        <w:tabs>
          <w:tab w:val="num" w:pos="5040"/>
        </w:tabs>
        <w:ind w:left="5040" w:hanging="360"/>
      </w:pPr>
      <w:rPr>
        <w:rFonts w:ascii="Arial" w:hAnsi="Arial" w:hint="default"/>
      </w:rPr>
    </w:lvl>
    <w:lvl w:ilvl="7" w:tplc="3C90E656" w:tentative="1">
      <w:start w:val="1"/>
      <w:numFmt w:val="bullet"/>
      <w:lvlText w:val="•"/>
      <w:lvlJc w:val="left"/>
      <w:pPr>
        <w:tabs>
          <w:tab w:val="num" w:pos="5760"/>
        </w:tabs>
        <w:ind w:left="5760" w:hanging="360"/>
      </w:pPr>
      <w:rPr>
        <w:rFonts w:ascii="Arial" w:hAnsi="Arial" w:hint="default"/>
      </w:rPr>
    </w:lvl>
    <w:lvl w:ilvl="8" w:tplc="F998EB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4F7FCB"/>
    <w:multiLevelType w:val="hybridMultilevel"/>
    <w:tmpl w:val="C2166C8C"/>
    <w:lvl w:ilvl="0" w:tplc="D31E9C4C">
      <w:start w:val="1"/>
      <w:numFmt w:val="lowerLetter"/>
      <w:lvlText w:val="%1)"/>
      <w:lvlJc w:val="left"/>
      <w:pPr>
        <w:ind w:left="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FAB442">
      <w:start w:val="1"/>
      <w:numFmt w:val="lowerLetter"/>
      <w:lvlText w:val="%2"/>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809C7C">
      <w:start w:val="1"/>
      <w:numFmt w:val="lowerRoman"/>
      <w:lvlText w:val="%3"/>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4AC1D4">
      <w:start w:val="1"/>
      <w:numFmt w:val="decimal"/>
      <w:lvlText w:val="%4"/>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421322">
      <w:start w:val="1"/>
      <w:numFmt w:val="lowerLetter"/>
      <w:lvlText w:val="%5"/>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CEAD26">
      <w:start w:val="1"/>
      <w:numFmt w:val="lowerRoman"/>
      <w:lvlText w:val="%6"/>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C814A2">
      <w:start w:val="1"/>
      <w:numFmt w:val="decimal"/>
      <w:lvlText w:val="%7"/>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A45A7C">
      <w:start w:val="1"/>
      <w:numFmt w:val="lowerLetter"/>
      <w:lvlText w:val="%8"/>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8E284C">
      <w:start w:val="1"/>
      <w:numFmt w:val="lowerRoman"/>
      <w:lvlText w:val="%9"/>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0B934FC"/>
    <w:multiLevelType w:val="hybridMultilevel"/>
    <w:tmpl w:val="D8F84E28"/>
    <w:lvl w:ilvl="0" w:tplc="DFE4D850">
      <w:start w:val="1"/>
      <w:numFmt w:val="bullet"/>
      <w:lvlText w:val="o"/>
      <w:lvlJc w:val="left"/>
      <w:pPr>
        <w:tabs>
          <w:tab w:val="num" w:pos="720"/>
        </w:tabs>
        <w:ind w:left="720" w:hanging="360"/>
      </w:pPr>
      <w:rPr>
        <w:rFonts w:ascii="Courier New" w:hAnsi="Courier New" w:hint="default"/>
      </w:rPr>
    </w:lvl>
    <w:lvl w:ilvl="1" w:tplc="2E2E01D4">
      <w:start w:val="1"/>
      <w:numFmt w:val="bullet"/>
      <w:lvlText w:val="o"/>
      <w:lvlJc w:val="left"/>
      <w:pPr>
        <w:tabs>
          <w:tab w:val="num" w:pos="1440"/>
        </w:tabs>
        <w:ind w:left="1440" w:hanging="360"/>
      </w:pPr>
      <w:rPr>
        <w:rFonts w:ascii="Courier New" w:hAnsi="Courier New" w:hint="default"/>
      </w:rPr>
    </w:lvl>
    <w:lvl w:ilvl="2" w:tplc="83C48B24">
      <w:numFmt w:val="bullet"/>
      <w:lvlText w:val=""/>
      <w:lvlJc w:val="left"/>
      <w:pPr>
        <w:tabs>
          <w:tab w:val="num" w:pos="2160"/>
        </w:tabs>
        <w:ind w:left="2160" w:hanging="360"/>
      </w:pPr>
      <w:rPr>
        <w:rFonts w:ascii="Wingdings" w:hAnsi="Wingdings" w:hint="default"/>
      </w:rPr>
    </w:lvl>
    <w:lvl w:ilvl="3" w:tplc="8AD6DE28" w:tentative="1">
      <w:start w:val="1"/>
      <w:numFmt w:val="bullet"/>
      <w:lvlText w:val="o"/>
      <w:lvlJc w:val="left"/>
      <w:pPr>
        <w:tabs>
          <w:tab w:val="num" w:pos="2880"/>
        </w:tabs>
        <w:ind w:left="2880" w:hanging="360"/>
      </w:pPr>
      <w:rPr>
        <w:rFonts w:ascii="Courier New" w:hAnsi="Courier New" w:hint="default"/>
      </w:rPr>
    </w:lvl>
    <w:lvl w:ilvl="4" w:tplc="1F348370" w:tentative="1">
      <w:start w:val="1"/>
      <w:numFmt w:val="bullet"/>
      <w:lvlText w:val="o"/>
      <w:lvlJc w:val="left"/>
      <w:pPr>
        <w:tabs>
          <w:tab w:val="num" w:pos="3600"/>
        </w:tabs>
        <w:ind w:left="3600" w:hanging="360"/>
      </w:pPr>
      <w:rPr>
        <w:rFonts w:ascii="Courier New" w:hAnsi="Courier New" w:hint="default"/>
      </w:rPr>
    </w:lvl>
    <w:lvl w:ilvl="5" w:tplc="C5BA2B1E" w:tentative="1">
      <w:start w:val="1"/>
      <w:numFmt w:val="bullet"/>
      <w:lvlText w:val="o"/>
      <w:lvlJc w:val="left"/>
      <w:pPr>
        <w:tabs>
          <w:tab w:val="num" w:pos="4320"/>
        </w:tabs>
        <w:ind w:left="4320" w:hanging="360"/>
      </w:pPr>
      <w:rPr>
        <w:rFonts w:ascii="Courier New" w:hAnsi="Courier New" w:hint="default"/>
      </w:rPr>
    </w:lvl>
    <w:lvl w:ilvl="6" w:tplc="7E48F548" w:tentative="1">
      <w:start w:val="1"/>
      <w:numFmt w:val="bullet"/>
      <w:lvlText w:val="o"/>
      <w:lvlJc w:val="left"/>
      <w:pPr>
        <w:tabs>
          <w:tab w:val="num" w:pos="5040"/>
        </w:tabs>
        <w:ind w:left="5040" w:hanging="360"/>
      </w:pPr>
      <w:rPr>
        <w:rFonts w:ascii="Courier New" w:hAnsi="Courier New" w:hint="default"/>
      </w:rPr>
    </w:lvl>
    <w:lvl w:ilvl="7" w:tplc="8EAA9F4E" w:tentative="1">
      <w:start w:val="1"/>
      <w:numFmt w:val="bullet"/>
      <w:lvlText w:val="o"/>
      <w:lvlJc w:val="left"/>
      <w:pPr>
        <w:tabs>
          <w:tab w:val="num" w:pos="5760"/>
        </w:tabs>
        <w:ind w:left="5760" w:hanging="360"/>
      </w:pPr>
      <w:rPr>
        <w:rFonts w:ascii="Courier New" w:hAnsi="Courier New" w:hint="default"/>
      </w:rPr>
    </w:lvl>
    <w:lvl w:ilvl="8" w:tplc="0658C248"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76A91033"/>
    <w:multiLevelType w:val="hybridMultilevel"/>
    <w:tmpl w:val="C088CA40"/>
    <w:lvl w:ilvl="0" w:tplc="FFBED7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66C09"/>
    <w:multiLevelType w:val="hybridMultilevel"/>
    <w:tmpl w:val="A7C4B432"/>
    <w:lvl w:ilvl="0" w:tplc="FF8C4290">
      <w:numFmt w:val="bullet"/>
      <w:lvlText w:val="-"/>
      <w:lvlJc w:val="left"/>
      <w:pPr>
        <w:ind w:left="720" w:hanging="360"/>
      </w:pPr>
      <w:rPr>
        <w:rFonts w:ascii="Calibri Light" w:eastAsia="Times New Roman"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7E56167"/>
    <w:multiLevelType w:val="hybridMultilevel"/>
    <w:tmpl w:val="A80070C8"/>
    <w:lvl w:ilvl="0" w:tplc="0A0A685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A2357"/>
    <w:multiLevelType w:val="hybridMultilevel"/>
    <w:tmpl w:val="EEF8318A"/>
    <w:lvl w:ilvl="0" w:tplc="EFEE3910">
      <w:start w:val="5"/>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1002D2">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4C1236">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149E52">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F697D2">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2523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D61866">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FEB9C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921BD2">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E153909"/>
    <w:multiLevelType w:val="hybridMultilevel"/>
    <w:tmpl w:val="6E24D49A"/>
    <w:lvl w:ilvl="0" w:tplc="63845420">
      <w:numFmt w:val="bullet"/>
      <w:lvlText w:val="-"/>
      <w:lvlJc w:val="left"/>
      <w:pPr>
        <w:ind w:left="1257" w:hanging="425"/>
      </w:pPr>
      <w:rPr>
        <w:rFonts w:ascii="Calibri" w:eastAsia="Calibri" w:hAnsi="Calibri" w:cs="Calibri" w:hint="default"/>
        <w:b w:val="0"/>
        <w:bCs w:val="0"/>
        <w:i w:val="0"/>
        <w:iCs w:val="0"/>
        <w:w w:val="100"/>
        <w:sz w:val="22"/>
        <w:szCs w:val="22"/>
        <w:lang w:val="ro-RO" w:eastAsia="en-US" w:bidi="ar-SA"/>
      </w:rPr>
    </w:lvl>
    <w:lvl w:ilvl="1" w:tplc="B7140F8A">
      <w:numFmt w:val="bullet"/>
      <w:lvlText w:val="•"/>
      <w:lvlJc w:val="left"/>
      <w:pPr>
        <w:ind w:left="2145" w:hanging="425"/>
      </w:pPr>
      <w:rPr>
        <w:rFonts w:hint="default"/>
        <w:lang w:val="ro-RO" w:eastAsia="en-US" w:bidi="ar-SA"/>
      </w:rPr>
    </w:lvl>
    <w:lvl w:ilvl="2" w:tplc="992A70DC">
      <w:numFmt w:val="bullet"/>
      <w:lvlText w:val="•"/>
      <w:lvlJc w:val="left"/>
      <w:pPr>
        <w:ind w:left="3031" w:hanging="425"/>
      </w:pPr>
      <w:rPr>
        <w:rFonts w:hint="default"/>
        <w:lang w:val="ro-RO" w:eastAsia="en-US" w:bidi="ar-SA"/>
      </w:rPr>
    </w:lvl>
    <w:lvl w:ilvl="3" w:tplc="3670C872">
      <w:numFmt w:val="bullet"/>
      <w:lvlText w:val="•"/>
      <w:lvlJc w:val="left"/>
      <w:pPr>
        <w:ind w:left="3917" w:hanging="425"/>
      </w:pPr>
      <w:rPr>
        <w:rFonts w:hint="default"/>
        <w:lang w:val="ro-RO" w:eastAsia="en-US" w:bidi="ar-SA"/>
      </w:rPr>
    </w:lvl>
    <w:lvl w:ilvl="4" w:tplc="69CAD75C">
      <w:numFmt w:val="bullet"/>
      <w:lvlText w:val="•"/>
      <w:lvlJc w:val="left"/>
      <w:pPr>
        <w:ind w:left="4803" w:hanging="425"/>
      </w:pPr>
      <w:rPr>
        <w:rFonts w:hint="default"/>
        <w:lang w:val="ro-RO" w:eastAsia="en-US" w:bidi="ar-SA"/>
      </w:rPr>
    </w:lvl>
    <w:lvl w:ilvl="5" w:tplc="7D1E87C6">
      <w:numFmt w:val="bullet"/>
      <w:lvlText w:val="•"/>
      <w:lvlJc w:val="left"/>
      <w:pPr>
        <w:ind w:left="5689" w:hanging="425"/>
      </w:pPr>
      <w:rPr>
        <w:rFonts w:hint="default"/>
        <w:lang w:val="ro-RO" w:eastAsia="en-US" w:bidi="ar-SA"/>
      </w:rPr>
    </w:lvl>
    <w:lvl w:ilvl="6" w:tplc="20A6C5D4">
      <w:numFmt w:val="bullet"/>
      <w:lvlText w:val="•"/>
      <w:lvlJc w:val="left"/>
      <w:pPr>
        <w:ind w:left="6575" w:hanging="425"/>
      </w:pPr>
      <w:rPr>
        <w:rFonts w:hint="default"/>
        <w:lang w:val="ro-RO" w:eastAsia="en-US" w:bidi="ar-SA"/>
      </w:rPr>
    </w:lvl>
    <w:lvl w:ilvl="7" w:tplc="EB3A9B36">
      <w:numFmt w:val="bullet"/>
      <w:lvlText w:val="•"/>
      <w:lvlJc w:val="left"/>
      <w:pPr>
        <w:ind w:left="7461" w:hanging="425"/>
      </w:pPr>
      <w:rPr>
        <w:rFonts w:hint="default"/>
        <w:lang w:val="ro-RO" w:eastAsia="en-US" w:bidi="ar-SA"/>
      </w:rPr>
    </w:lvl>
    <w:lvl w:ilvl="8" w:tplc="DAB028B4">
      <w:numFmt w:val="bullet"/>
      <w:lvlText w:val="•"/>
      <w:lvlJc w:val="left"/>
      <w:pPr>
        <w:ind w:left="8347" w:hanging="425"/>
      </w:pPr>
      <w:rPr>
        <w:rFonts w:hint="default"/>
        <w:lang w:val="ro-RO" w:eastAsia="en-US" w:bidi="ar-SA"/>
      </w:rPr>
    </w:lvl>
  </w:abstractNum>
  <w:num w:numId="1" w16cid:durableId="601455991">
    <w:abstractNumId w:val="17"/>
  </w:num>
  <w:num w:numId="2" w16cid:durableId="97142698">
    <w:abstractNumId w:val="20"/>
  </w:num>
  <w:num w:numId="3" w16cid:durableId="343020870">
    <w:abstractNumId w:val="1"/>
  </w:num>
  <w:num w:numId="4" w16cid:durableId="1109079934">
    <w:abstractNumId w:val="30"/>
  </w:num>
  <w:num w:numId="5" w16cid:durableId="649138040">
    <w:abstractNumId w:val="19"/>
  </w:num>
  <w:num w:numId="6" w16cid:durableId="838159299">
    <w:abstractNumId w:val="28"/>
  </w:num>
  <w:num w:numId="7" w16cid:durableId="1253052476">
    <w:abstractNumId w:val="15"/>
  </w:num>
  <w:num w:numId="8" w16cid:durableId="297030246">
    <w:abstractNumId w:val="11"/>
  </w:num>
  <w:num w:numId="9" w16cid:durableId="1603537115">
    <w:abstractNumId w:val="8"/>
  </w:num>
  <w:num w:numId="10" w16cid:durableId="1748333587">
    <w:abstractNumId w:val="21"/>
  </w:num>
  <w:num w:numId="11" w16cid:durableId="1038966908">
    <w:abstractNumId w:val="31"/>
  </w:num>
  <w:num w:numId="12" w16cid:durableId="908732601">
    <w:abstractNumId w:val="25"/>
  </w:num>
  <w:num w:numId="13" w16cid:durableId="2046634932">
    <w:abstractNumId w:val="6"/>
  </w:num>
  <w:num w:numId="14" w16cid:durableId="1634943636">
    <w:abstractNumId w:val="16"/>
  </w:num>
  <w:num w:numId="15" w16cid:durableId="1595015352">
    <w:abstractNumId w:val="10"/>
  </w:num>
  <w:num w:numId="16" w16cid:durableId="817187914">
    <w:abstractNumId w:val="13"/>
  </w:num>
  <w:num w:numId="17" w16cid:durableId="1880043892">
    <w:abstractNumId w:val="9"/>
  </w:num>
  <w:num w:numId="18" w16cid:durableId="1970474535">
    <w:abstractNumId w:val="2"/>
  </w:num>
  <w:num w:numId="19" w16cid:durableId="796023435">
    <w:abstractNumId w:val="26"/>
  </w:num>
  <w:num w:numId="20" w16cid:durableId="1196237861">
    <w:abstractNumId w:val="24"/>
  </w:num>
  <w:num w:numId="21" w16cid:durableId="1800538686">
    <w:abstractNumId w:val="23"/>
  </w:num>
  <w:num w:numId="22" w16cid:durableId="773129659">
    <w:abstractNumId w:val="5"/>
  </w:num>
  <w:num w:numId="23" w16cid:durableId="1959801241">
    <w:abstractNumId w:val="27"/>
  </w:num>
  <w:num w:numId="24" w16cid:durableId="1789662118">
    <w:abstractNumId w:val="12"/>
  </w:num>
  <w:num w:numId="25" w16cid:durableId="2124612414">
    <w:abstractNumId w:val="14"/>
  </w:num>
  <w:num w:numId="26" w16cid:durableId="1440948305">
    <w:abstractNumId w:val="29"/>
  </w:num>
  <w:num w:numId="27" w16cid:durableId="692800339">
    <w:abstractNumId w:val="7"/>
  </w:num>
  <w:num w:numId="28" w16cid:durableId="1313368107">
    <w:abstractNumId w:val="22"/>
  </w:num>
  <w:num w:numId="29" w16cid:durableId="2119520030">
    <w:abstractNumId w:val="4"/>
  </w:num>
  <w:num w:numId="30" w16cid:durableId="1047873884">
    <w:abstractNumId w:val="0"/>
  </w:num>
  <w:num w:numId="31" w16cid:durableId="209920399">
    <w:abstractNumId w:val="18"/>
  </w:num>
  <w:num w:numId="32" w16cid:durableId="685401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31"/>
    <w:rsid w:val="00002E8E"/>
    <w:rsid w:val="00011D95"/>
    <w:rsid w:val="000161AF"/>
    <w:rsid w:val="00027A2F"/>
    <w:rsid w:val="000704C9"/>
    <w:rsid w:val="00095909"/>
    <w:rsid w:val="000B0246"/>
    <w:rsid w:val="000B356F"/>
    <w:rsid w:val="000B4296"/>
    <w:rsid w:val="000B6276"/>
    <w:rsid w:val="000C2DB9"/>
    <w:rsid w:val="000E2E1A"/>
    <w:rsid w:val="000F5333"/>
    <w:rsid w:val="00112438"/>
    <w:rsid w:val="0015164A"/>
    <w:rsid w:val="0017007B"/>
    <w:rsid w:val="001820B6"/>
    <w:rsid w:val="001A20AA"/>
    <w:rsid w:val="001C0B05"/>
    <w:rsid w:val="001C7025"/>
    <w:rsid w:val="001D0235"/>
    <w:rsid w:val="001E2F80"/>
    <w:rsid w:val="00200143"/>
    <w:rsid w:val="002047AE"/>
    <w:rsid w:val="00212429"/>
    <w:rsid w:val="00220A69"/>
    <w:rsid w:val="00220FB6"/>
    <w:rsid w:val="002321CD"/>
    <w:rsid w:val="00236355"/>
    <w:rsid w:val="0025503C"/>
    <w:rsid w:val="002617F6"/>
    <w:rsid w:val="00262BCF"/>
    <w:rsid w:val="00292AEF"/>
    <w:rsid w:val="002A13F2"/>
    <w:rsid w:val="002A14B3"/>
    <w:rsid w:val="002B0EAC"/>
    <w:rsid w:val="002B57B8"/>
    <w:rsid w:val="00337D15"/>
    <w:rsid w:val="00344C49"/>
    <w:rsid w:val="00346020"/>
    <w:rsid w:val="00351376"/>
    <w:rsid w:val="00355029"/>
    <w:rsid w:val="00357B97"/>
    <w:rsid w:val="003635B3"/>
    <w:rsid w:val="003664C7"/>
    <w:rsid w:val="00376B9E"/>
    <w:rsid w:val="003813B9"/>
    <w:rsid w:val="00384480"/>
    <w:rsid w:val="00392DB4"/>
    <w:rsid w:val="0039362A"/>
    <w:rsid w:val="003962C0"/>
    <w:rsid w:val="003C06D8"/>
    <w:rsid w:val="003C354B"/>
    <w:rsid w:val="003C5007"/>
    <w:rsid w:val="00400EAA"/>
    <w:rsid w:val="0041329D"/>
    <w:rsid w:val="0042052B"/>
    <w:rsid w:val="004378FE"/>
    <w:rsid w:val="0044301F"/>
    <w:rsid w:val="00456164"/>
    <w:rsid w:val="00456CBD"/>
    <w:rsid w:val="00471F99"/>
    <w:rsid w:val="00477B93"/>
    <w:rsid w:val="004822DF"/>
    <w:rsid w:val="00482513"/>
    <w:rsid w:val="00484949"/>
    <w:rsid w:val="004B1B39"/>
    <w:rsid w:val="004D0ABB"/>
    <w:rsid w:val="004E1A59"/>
    <w:rsid w:val="005060FB"/>
    <w:rsid w:val="005069DF"/>
    <w:rsid w:val="00515072"/>
    <w:rsid w:val="00552D4D"/>
    <w:rsid w:val="005544B8"/>
    <w:rsid w:val="0055500A"/>
    <w:rsid w:val="00560013"/>
    <w:rsid w:val="0056510F"/>
    <w:rsid w:val="005654E9"/>
    <w:rsid w:val="00582CD9"/>
    <w:rsid w:val="005B4F65"/>
    <w:rsid w:val="005C28AC"/>
    <w:rsid w:val="005C7513"/>
    <w:rsid w:val="005E10BC"/>
    <w:rsid w:val="005E1E25"/>
    <w:rsid w:val="005E2823"/>
    <w:rsid w:val="005F3F5E"/>
    <w:rsid w:val="005F73A9"/>
    <w:rsid w:val="00612786"/>
    <w:rsid w:val="00614648"/>
    <w:rsid w:val="00646C18"/>
    <w:rsid w:val="00651460"/>
    <w:rsid w:val="00651A30"/>
    <w:rsid w:val="006536B7"/>
    <w:rsid w:val="00670324"/>
    <w:rsid w:val="006727BE"/>
    <w:rsid w:val="00680CE8"/>
    <w:rsid w:val="00682431"/>
    <w:rsid w:val="00693A22"/>
    <w:rsid w:val="006A20DD"/>
    <w:rsid w:val="006C3081"/>
    <w:rsid w:val="006C49B5"/>
    <w:rsid w:val="006D070D"/>
    <w:rsid w:val="006D2DF7"/>
    <w:rsid w:val="006E462C"/>
    <w:rsid w:val="006E6226"/>
    <w:rsid w:val="006F2298"/>
    <w:rsid w:val="006F31AF"/>
    <w:rsid w:val="00704740"/>
    <w:rsid w:val="00730997"/>
    <w:rsid w:val="007321EB"/>
    <w:rsid w:val="00732DCD"/>
    <w:rsid w:val="0073758F"/>
    <w:rsid w:val="00740CF3"/>
    <w:rsid w:val="007441A1"/>
    <w:rsid w:val="007A02A7"/>
    <w:rsid w:val="007A7D7B"/>
    <w:rsid w:val="007C1A49"/>
    <w:rsid w:val="007C1D9B"/>
    <w:rsid w:val="007E0D82"/>
    <w:rsid w:val="007E10B7"/>
    <w:rsid w:val="00804C39"/>
    <w:rsid w:val="00805BDB"/>
    <w:rsid w:val="00816637"/>
    <w:rsid w:val="008213B5"/>
    <w:rsid w:val="00825E97"/>
    <w:rsid w:val="008352F4"/>
    <w:rsid w:val="00837C76"/>
    <w:rsid w:val="00840B67"/>
    <w:rsid w:val="008447C5"/>
    <w:rsid w:val="008652D7"/>
    <w:rsid w:val="00875053"/>
    <w:rsid w:val="00884FC3"/>
    <w:rsid w:val="00893DB5"/>
    <w:rsid w:val="008A0353"/>
    <w:rsid w:val="008A12E0"/>
    <w:rsid w:val="008A27E4"/>
    <w:rsid w:val="008A28CE"/>
    <w:rsid w:val="008B2B47"/>
    <w:rsid w:val="008E0394"/>
    <w:rsid w:val="008E3EF1"/>
    <w:rsid w:val="008F0584"/>
    <w:rsid w:val="008F52AF"/>
    <w:rsid w:val="009060A0"/>
    <w:rsid w:val="00906654"/>
    <w:rsid w:val="00911FA8"/>
    <w:rsid w:val="00912233"/>
    <w:rsid w:val="00926D5F"/>
    <w:rsid w:val="00926F99"/>
    <w:rsid w:val="00927C4A"/>
    <w:rsid w:val="00930620"/>
    <w:rsid w:val="009357CD"/>
    <w:rsid w:val="00944F95"/>
    <w:rsid w:val="00980261"/>
    <w:rsid w:val="00982C0E"/>
    <w:rsid w:val="009A06C6"/>
    <w:rsid w:val="009A4CAC"/>
    <w:rsid w:val="009A508B"/>
    <w:rsid w:val="009B3593"/>
    <w:rsid w:val="009B49FB"/>
    <w:rsid w:val="009D0C18"/>
    <w:rsid w:val="009E0F81"/>
    <w:rsid w:val="009E296B"/>
    <w:rsid w:val="009E7089"/>
    <w:rsid w:val="009F1CA0"/>
    <w:rsid w:val="009F4931"/>
    <w:rsid w:val="00A019E7"/>
    <w:rsid w:val="00A17CD8"/>
    <w:rsid w:val="00A34553"/>
    <w:rsid w:val="00A447EA"/>
    <w:rsid w:val="00A46DE1"/>
    <w:rsid w:val="00A507DE"/>
    <w:rsid w:val="00A6699E"/>
    <w:rsid w:val="00A90877"/>
    <w:rsid w:val="00A91EA2"/>
    <w:rsid w:val="00AB3529"/>
    <w:rsid w:val="00AC0D23"/>
    <w:rsid w:val="00AF38E7"/>
    <w:rsid w:val="00B050EE"/>
    <w:rsid w:val="00B14A44"/>
    <w:rsid w:val="00B16C0A"/>
    <w:rsid w:val="00B228EB"/>
    <w:rsid w:val="00B25075"/>
    <w:rsid w:val="00B30D9D"/>
    <w:rsid w:val="00B353BF"/>
    <w:rsid w:val="00B410C6"/>
    <w:rsid w:val="00B4265F"/>
    <w:rsid w:val="00B47666"/>
    <w:rsid w:val="00B52696"/>
    <w:rsid w:val="00B52964"/>
    <w:rsid w:val="00B5593C"/>
    <w:rsid w:val="00B55F36"/>
    <w:rsid w:val="00B621C9"/>
    <w:rsid w:val="00B70360"/>
    <w:rsid w:val="00B94DD3"/>
    <w:rsid w:val="00B958FD"/>
    <w:rsid w:val="00BA3397"/>
    <w:rsid w:val="00BB7460"/>
    <w:rsid w:val="00BC2CDD"/>
    <w:rsid w:val="00BD5F6E"/>
    <w:rsid w:val="00BE6CD4"/>
    <w:rsid w:val="00BF100B"/>
    <w:rsid w:val="00BF5C32"/>
    <w:rsid w:val="00C41E06"/>
    <w:rsid w:val="00C513C6"/>
    <w:rsid w:val="00C543D4"/>
    <w:rsid w:val="00C5443A"/>
    <w:rsid w:val="00C75E0E"/>
    <w:rsid w:val="00C7799D"/>
    <w:rsid w:val="00C821D6"/>
    <w:rsid w:val="00C937AB"/>
    <w:rsid w:val="00CC1B47"/>
    <w:rsid w:val="00CD4AFC"/>
    <w:rsid w:val="00CF314C"/>
    <w:rsid w:val="00CF5782"/>
    <w:rsid w:val="00D13379"/>
    <w:rsid w:val="00D36581"/>
    <w:rsid w:val="00D42AB0"/>
    <w:rsid w:val="00D532BA"/>
    <w:rsid w:val="00D537AE"/>
    <w:rsid w:val="00D539DA"/>
    <w:rsid w:val="00D56099"/>
    <w:rsid w:val="00D64733"/>
    <w:rsid w:val="00D762B7"/>
    <w:rsid w:val="00D90E6F"/>
    <w:rsid w:val="00DA2834"/>
    <w:rsid w:val="00DA4C56"/>
    <w:rsid w:val="00DB18C6"/>
    <w:rsid w:val="00DC4C44"/>
    <w:rsid w:val="00DC6220"/>
    <w:rsid w:val="00DC6715"/>
    <w:rsid w:val="00DD2BE1"/>
    <w:rsid w:val="00DD6C6D"/>
    <w:rsid w:val="00DE5829"/>
    <w:rsid w:val="00E076AB"/>
    <w:rsid w:val="00E228B0"/>
    <w:rsid w:val="00E23D3A"/>
    <w:rsid w:val="00E45A2C"/>
    <w:rsid w:val="00E57F18"/>
    <w:rsid w:val="00E7647A"/>
    <w:rsid w:val="00E81A21"/>
    <w:rsid w:val="00E9067D"/>
    <w:rsid w:val="00EB72FD"/>
    <w:rsid w:val="00ED720B"/>
    <w:rsid w:val="00EE237A"/>
    <w:rsid w:val="00EF11C9"/>
    <w:rsid w:val="00F0290E"/>
    <w:rsid w:val="00F1489C"/>
    <w:rsid w:val="00F169D3"/>
    <w:rsid w:val="00F17729"/>
    <w:rsid w:val="00F2406F"/>
    <w:rsid w:val="00F412E9"/>
    <w:rsid w:val="00F4712D"/>
    <w:rsid w:val="00F63DE6"/>
    <w:rsid w:val="00F64FDF"/>
    <w:rsid w:val="00F65CCF"/>
    <w:rsid w:val="00F65FE2"/>
    <w:rsid w:val="00F70288"/>
    <w:rsid w:val="00F76C6D"/>
    <w:rsid w:val="00FF196D"/>
    <w:rsid w:val="00FF2F8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7D4F"/>
  <w15:chartTrackingRefBased/>
  <w15:docId w15:val="{4E78AC8F-D5BD-4CF0-886F-FFE10638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1"/>
    <w:pPr>
      <w:jc w:val="both"/>
    </w:pPr>
    <w:rPr>
      <w:rFonts w:ascii="Times New Roman" w:hAnsi="Times New Roman"/>
      <w:sz w:val="24"/>
      <w:szCs w:val="22"/>
      <w:lang w:val="en-US" w:eastAsia="en-US"/>
    </w:rPr>
  </w:style>
  <w:style w:type="paragraph" w:styleId="Heading4">
    <w:name w:val="heading 4"/>
    <w:basedOn w:val="Normal"/>
    <w:link w:val="Heading4Char"/>
    <w:uiPriority w:val="9"/>
    <w:qFormat/>
    <w:rsid w:val="009F4931"/>
    <w:pPr>
      <w:spacing w:before="100" w:beforeAutospacing="1" w:after="100" w:afterAutospacing="1"/>
      <w:jc w:val="left"/>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4931"/>
    <w:pPr>
      <w:jc w:val="center"/>
    </w:pPr>
    <w:rPr>
      <w:rFonts w:ascii="Arial" w:eastAsia="Times New Roman" w:hAnsi="Arial"/>
      <w:b/>
      <w:sz w:val="32"/>
      <w:szCs w:val="20"/>
    </w:rPr>
  </w:style>
  <w:style w:type="character" w:customStyle="1" w:styleId="TitleChar">
    <w:name w:val="Title Char"/>
    <w:link w:val="Title"/>
    <w:uiPriority w:val="99"/>
    <w:rsid w:val="009F4931"/>
    <w:rPr>
      <w:rFonts w:ascii="Arial" w:eastAsia="Times New Roman" w:hAnsi="Arial" w:cs="Times New Roman"/>
      <w:b/>
      <w:sz w:val="32"/>
      <w:szCs w:val="20"/>
    </w:rPr>
  </w:style>
  <w:style w:type="character" w:customStyle="1" w:styleId="Heading4Char">
    <w:name w:val="Heading 4 Char"/>
    <w:link w:val="Heading4"/>
    <w:uiPriority w:val="9"/>
    <w:rsid w:val="009F4931"/>
    <w:rPr>
      <w:rFonts w:ascii="Times New Roman" w:eastAsia="Times New Roman" w:hAnsi="Times New Roman" w:cs="Times New Roman"/>
      <w:b/>
      <w:bCs/>
      <w:sz w:val="24"/>
      <w:szCs w:val="24"/>
    </w:rPr>
  </w:style>
  <w:style w:type="paragraph" w:customStyle="1" w:styleId="al">
    <w:name w:val="a_l"/>
    <w:basedOn w:val="Normal"/>
    <w:rsid w:val="009F4931"/>
    <w:pPr>
      <w:spacing w:before="100" w:beforeAutospacing="1" w:after="100" w:afterAutospacing="1"/>
      <w:jc w:val="left"/>
    </w:pPr>
    <w:rPr>
      <w:rFonts w:eastAsia="Times New Roman"/>
      <w:szCs w:val="24"/>
    </w:rPr>
  </w:style>
  <w:style w:type="character" w:styleId="Hyperlink">
    <w:name w:val="Hyperlink"/>
    <w:uiPriority w:val="99"/>
    <w:unhideWhenUsed/>
    <w:rsid w:val="009F4931"/>
    <w:rPr>
      <w:color w:val="0000FF"/>
      <w:u w:val="single"/>
    </w:rPr>
  </w:style>
  <w:style w:type="paragraph" w:styleId="BodyText">
    <w:name w:val="Body Text"/>
    <w:basedOn w:val="Normal"/>
    <w:link w:val="BodyTextChar"/>
    <w:uiPriority w:val="99"/>
    <w:rsid w:val="00FF2F85"/>
    <w:pPr>
      <w:jc w:val="center"/>
    </w:pPr>
    <w:rPr>
      <w:rFonts w:ascii="Arial" w:eastAsia="Times New Roman" w:hAnsi="Arial"/>
      <w:b/>
      <w:sz w:val="32"/>
      <w:szCs w:val="20"/>
    </w:rPr>
  </w:style>
  <w:style w:type="character" w:customStyle="1" w:styleId="BodyTextChar">
    <w:name w:val="Body Text Char"/>
    <w:link w:val="BodyText"/>
    <w:uiPriority w:val="99"/>
    <w:rsid w:val="00FF2F85"/>
    <w:rPr>
      <w:rFonts w:ascii="Arial" w:eastAsia="Times New Roman" w:hAnsi="Arial" w:cs="Times New Roman"/>
      <w:b/>
      <w:sz w:val="32"/>
      <w:szCs w:val="20"/>
    </w:rPr>
  </w:style>
  <w:style w:type="paragraph" w:styleId="Header">
    <w:name w:val="header"/>
    <w:basedOn w:val="Normal"/>
    <w:link w:val="HeaderChar"/>
    <w:uiPriority w:val="99"/>
    <w:unhideWhenUsed/>
    <w:rsid w:val="00A91EA2"/>
    <w:pPr>
      <w:tabs>
        <w:tab w:val="center" w:pos="4680"/>
        <w:tab w:val="right" w:pos="9360"/>
      </w:tabs>
    </w:pPr>
  </w:style>
  <w:style w:type="character" w:customStyle="1" w:styleId="HeaderChar">
    <w:name w:val="Header Char"/>
    <w:link w:val="Header"/>
    <w:uiPriority w:val="99"/>
    <w:rsid w:val="00A91EA2"/>
    <w:rPr>
      <w:rFonts w:ascii="Times New Roman" w:hAnsi="Times New Roman"/>
      <w:sz w:val="24"/>
      <w:szCs w:val="22"/>
    </w:rPr>
  </w:style>
  <w:style w:type="paragraph" w:styleId="Footer">
    <w:name w:val="footer"/>
    <w:basedOn w:val="Normal"/>
    <w:link w:val="FooterChar"/>
    <w:uiPriority w:val="99"/>
    <w:unhideWhenUsed/>
    <w:rsid w:val="00A91EA2"/>
    <w:pPr>
      <w:tabs>
        <w:tab w:val="center" w:pos="4680"/>
        <w:tab w:val="right" w:pos="9360"/>
      </w:tabs>
    </w:pPr>
  </w:style>
  <w:style w:type="character" w:customStyle="1" w:styleId="FooterChar">
    <w:name w:val="Footer Char"/>
    <w:link w:val="Footer"/>
    <w:uiPriority w:val="99"/>
    <w:rsid w:val="00A91EA2"/>
    <w:rPr>
      <w:rFonts w:ascii="Times New Roman" w:hAnsi="Times New Roman"/>
      <w:sz w:val="24"/>
      <w:szCs w:val="22"/>
    </w:rPr>
  </w:style>
  <w:style w:type="numbering" w:customStyle="1" w:styleId="NoList1">
    <w:name w:val="No List1"/>
    <w:next w:val="NoList"/>
    <w:uiPriority w:val="99"/>
    <w:semiHidden/>
    <w:unhideWhenUsed/>
    <w:rsid w:val="00906654"/>
  </w:style>
  <w:style w:type="table" w:customStyle="1" w:styleId="TableGrid">
    <w:name w:val="TableGrid"/>
    <w:rsid w:val="00906654"/>
    <w:rPr>
      <w:rFonts w:eastAsia="Times New Roman"/>
      <w:sz w:val="22"/>
      <w:szCs w:val="22"/>
      <w:lang w:val="en-US" w:eastAsia="en-US"/>
    </w:rPr>
    <w:tblPr>
      <w:tblCellMar>
        <w:top w:w="0" w:type="dxa"/>
        <w:left w:w="0" w:type="dxa"/>
        <w:bottom w:w="0" w:type="dxa"/>
        <w:right w:w="0" w:type="dxa"/>
      </w:tblCellMar>
    </w:tblPr>
  </w:style>
  <w:style w:type="paragraph" w:styleId="ListParagraph">
    <w:name w:val="List Paragraph"/>
    <w:aliases w:val="List Paragraph1,ADB List Paragraph,Normal 2,List Paragraph (numbered (a)),References,List_Paragraph,Multilevel para_II,Citation List,Resume Title,Numbered List Paragraph,Numbered Paragraph,Main numbered paragraph,Akapit z listą BS,body 2"/>
    <w:basedOn w:val="Normal"/>
    <w:link w:val="ListParagraphChar"/>
    <w:uiPriority w:val="34"/>
    <w:qFormat/>
    <w:rsid w:val="00906654"/>
    <w:pPr>
      <w:ind w:left="837" w:hanging="361"/>
      <w:jc w:val="left"/>
    </w:pPr>
    <w:rPr>
      <w:rFonts w:ascii="Calibri" w:hAnsi="Calibri" w:cs="Calibri"/>
      <w:sz w:val="22"/>
      <w:lang w:val="ro-RO"/>
    </w:rPr>
  </w:style>
  <w:style w:type="character" w:customStyle="1" w:styleId="ListParagraphChar">
    <w:name w:val="List Paragraph Char"/>
    <w:aliases w:val="List Paragraph1 Char,ADB List Paragraph Char,Normal 2 Char,List Paragraph (numbered (a)) Char,References Char,List_Paragraph Char,Multilevel para_II Char,Citation List Char,Resume Title Char,Numbered List Paragraph Char,body 2 Char"/>
    <w:link w:val="ListParagraph"/>
    <w:uiPriority w:val="34"/>
    <w:qFormat/>
    <w:locked/>
    <w:rsid w:val="00906654"/>
    <w:rPr>
      <w:rFonts w:cs="Calibri"/>
      <w:sz w:val="22"/>
      <w:szCs w:val="22"/>
      <w:lang w:val="ro-RO"/>
    </w:rPr>
  </w:style>
  <w:style w:type="table" w:customStyle="1" w:styleId="SGSTableBasic11">
    <w:name w:val="SGS Table Basic 11"/>
    <w:basedOn w:val="TableNormal"/>
    <w:next w:val="TableGrid0"/>
    <w:uiPriority w:val="39"/>
    <w:rsid w:val="00906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next w:val="BodyText2"/>
    <w:link w:val="BodyText2Char"/>
    <w:uiPriority w:val="99"/>
    <w:semiHidden/>
    <w:unhideWhenUsed/>
    <w:rsid w:val="00906654"/>
    <w:pPr>
      <w:spacing w:after="120" w:line="480" w:lineRule="auto"/>
      <w:jc w:val="left"/>
    </w:pPr>
    <w:rPr>
      <w:rFonts w:ascii="Calibri" w:hAnsi="Calibri"/>
      <w:sz w:val="20"/>
      <w:szCs w:val="20"/>
    </w:rPr>
  </w:style>
  <w:style w:type="character" w:customStyle="1" w:styleId="BodyText2Char">
    <w:name w:val="Body Text 2 Char"/>
    <w:link w:val="BodyText21"/>
    <w:uiPriority w:val="99"/>
    <w:semiHidden/>
    <w:rsid w:val="00906654"/>
  </w:style>
  <w:style w:type="character" w:styleId="UnresolvedMention">
    <w:name w:val="Unresolved Mention"/>
    <w:uiPriority w:val="99"/>
    <w:semiHidden/>
    <w:unhideWhenUsed/>
    <w:rsid w:val="00906654"/>
    <w:rPr>
      <w:color w:val="605E5C"/>
      <w:shd w:val="clear" w:color="auto" w:fill="E1DFDD"/>
    </w:rPr>
  </w:style>
  <w:style w:type="paragraph" w:customStyle="1" w:styleId="BalloonText1">
    <w:name w:val="Balloon Text1"/>
    <w:basedOn w:val="Normal"/>
    <w:next w:val="BalloonText"/>
    <w:link w:val="BalloonTextChar"/>
    <w:uiPriority w:val="99"/>
    <w:semiHidden/>
    <w:unhideWhenUsed/>
    <w:rsid w:val="00906654"/>
    <w:pPr>
      <w:jc w:val="left"/>
    </w:pPr>
    <w:rPr>
      <w:rFonts w:ascii="Segoe UI" w:hAnsi="Segoe UI" w:cs="Segoe UI"/>
      <w:sz w:val="18"/>
      <w:szCs w:val="18"/>
    </w:rPr>
  </w:style>
  <w:style w:type="character" w:customStyle="1" w:styleId="BalloonTextChar">
    <w:name w:val="Balloon Text Char"/>
    <w:link w:val="BalloonText1"/>
    <w:uiPriority w:val="99"/>
    <w:semiHidden/>
    <w:rsid w:val="00906654"/>
    <w:rPr>
      <w:rFonts w:ascii="Segoe UI" w:hAnsi="Segoe UI" w:cs="Segoe UI"/>
      <w:sz w:val="18"/>
      <w:szCs w:val="18"/>
    </w:rPr>
  </w:style>
  <w:style w:type="table" w:styleId="TableGrid0">
    <w:name w:val="Table Grid"/>
    <w:basedOn w:val="TableNormal"/>
    <w:uiPriority w:val="39"/>
    <w:rsid w:val="0090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semiHidden/>
    <w:unhideWhenUsed/>
    <w:rsid w:val="00906654"/>
    <w:pPr>
      <w:spacing w:after="120" w:line="480" w:lineRule="auto"/>
    </w:pPr>
  </w:style>
  <w:style w:type="character" w:customStyle="1" w:styleId="BodyText2Char1">
    <w:name w:val="Body Text 2 Char1"/>
    <w:link w:val="BodyText2"/>
    <w:uiPriority w:val="99"/>
    <w:semiHidden/>
    <w:rsid w:val="00906654"/>
    <w:rPr>
      <w:rFonts w:ascii="Times New Roman" w:hAnsi="Times New Roman"/>
      <w:sz w:val="24"/>
      <w:szCs w:val="22"/>
    </w:rPr>
  </w:style>
  <w:style w:type="paragraph" w:styleId="BalloonText">
    <w:name w:val="Balloon Text"/>
    <w:basedOn w:val="Normal"/>
    <w:link w:val="BalloonTextChar1"/>
    <w:uiPriority w:val="99"/>
    <w:semiHidden/>
    <w:unhideWhenUsed/>
    <w:rsid w:val="00906654"/>
    <w:rPr>
      <w:rFonts w:ascii="Segoe UI" w:hAnsi="Segoe UI" w:cs="Segoe UI"/>
      <w:sz w:val="18"/>
      <w:szCs w:val="18"/>
    </w:rPr>
  </w:style>
  <w:style w:type="character" w:customStyle="1" w:styleId="BalloonTextChar1">
    <w:name w:val="Balloon Text Char1"/>
    <w:link w:val="BalloonText"/>
    <w:uiPriority w:val="99"/>
    <w:semiHidden/>
    <w:rsid w:val="00906654"/>
    <w:rPr>
      <w:rFonts w:ascii="Segoe UI" w:hAnsi="Segoe UI" w:cs="Segoe UI"/>
      <w:sz w:val="18"/>
      <w:szCs w:val="18"/>
    </w:rPr>
  </w:style>
  <w:style w:type="paragraph" w:customStyle="1" w:styleId="JBAParaText">
    <w:name w:val="JBA Para Text"/>
    <w:basedOn w:val="Normal"/>
    <w:link w:val="JBAParaTextChar"/>
    <w:uiPriority w:val="1"/>
    <w:qFormat/>
    <w:rsid w:val="001820B6"/>
    <w:pPr>
      <w:spacing w:after="80"/>
      <w:ind w:left="1588"/>
    </w:pPr>
    <w:rPr>
      <w:rFonts w:ascii="Verdana" w:hAnsi="Verdana"/>
      <w:sz w:val="20"/>
      <w:szCs w:val="20"/>
      <w:lang w:val="ro-RO" w:eastAsia="en-GB"/>
    </w:rPr>
  </w:style>
  <w:style w:type="paragraph" w:customStyle="1" w:styleId="JBA-ReportText">
    <w:name w:val="JBA - Report Text"/>
    <w:basedOn w:val="Normal"/>
    <w:uiPriority w:val="1"/>
    <w:rsid w:val="001820B6"/>
    <w:pPr>
      <w:spacing w:after="80"/>
      <w:ind w:left="720" w:right="720"/>
      <w:jc w:val="left"/>
    </w:pPr>
    <w:rPr>
      <w:rFonts w:ascii="Verdana" w:hAnsi="Verdana"/>
      <w:sz w:val="21"/>
      <w:szCs w:val="21"/>
      <w:lang w:val="ro-RO" w:eastAsia="en-GB"/>
    </w:rPr>
  </w:style>
  <w:style w:type="character" w:customStyle="1" w:styleId="JBAParaTextChar">
    <w:name w:val="JBA Para Text Char"/>
    <w:link w:val="JBAParaText"/>
    <w:uiPriority w:val="1"/>
    <w:rsid w:val="001820B6"/>
    <w:rPr>
      <w:rFonts w:ascii="Verdana" w:hAnsi="Verdana"/>
      <w:lang w:val="ro-RO" w:eastAsia="en-GB"/>
    </w:rPr>
  </w:style>
  <w:style w:type="paragraph" w:styleId="FootnoteText">
    <w:name w:val="footnote text"/>
    <w:basedOn w:val="Normal"/>
    <w:link w:val="FootnoteTextChar"/>
    <w:uiPriority w:val="99"/>
    <w:qFormat/>
    <w:rsid w:val="00D537AE"/>
    <w:pPr>
      <w:keepNext/>
      <w:jc w:val="left"/>
    </w:pPr>
    <w:rPr>
      <w:rFonts w:ascii="Verdana" w:hAnsi="Verdana"/>
      <w:sz w:val="18"/>
      <w:szCs w:val="18"/>
      <w:lang w:val="ro-RO" w:eastAsia="en-GB"/>
    </w:rPr>
  </w:style>
  <w:style w:type="character" w:customStyle="1" w:styleId="FootnoteTextChar">
    <w:name w:val="Footnote Text Char"/>
    <w:link w:val="FootnoteText"/>
    <w:uiPriority w:val="99"/>
    <w:rsid w:val="00D537AE"/>
    <w:rPr>
      <w:rFonts w:ascii="Verdana" w:hAnsi="Verdana"/>
      <w:sz w:val="18"/>
      <w:szCs w:val="18"/>
      <w:lang w:val="ro-RO" w:eastAsia="en-GB"/>
    </w:rPr>
  </w:style>
  <w:style w:type="character" w:styleId="FootnoteReference">
    <w:name w:val="footnote reference"/>
    <w:link w:val="ftrefCaracterCaracterCaracter"/>
    <w:uiPriority w:val="99"/>
    <w:rsid w:val="00D537AE"/>
    <w:rPr>
      <w:noProof/>
      <w:vertAlign w:val="superscript"/>
      <w:lang w:val="ro-RO"/>
    </w:rPr>
  </w:style>
  <w:style w:type="paragraph" w:customStyle="1" w:styleId="ftrefCaracterCaracterCaracter">
    <w:name w:val="ftref Caracter Caracter Caracter"/>
    <w:basedOn w:val="Normal"/>
    <w:link w:val="FootnoteReference"/>
    <w:uiPriority w:val="99"/>
    <w:rsid w:val="00D537AE"/>
    <w:pPr>
      <w:spacing w:before="120" w:after="120" w:line="240" w:lineRule="exact"/>
    </w:pPr>
    <w:rPr>
      <w:rFonts w:ascii="Calibri" w:hAnsi="Calibri"/>
      <w:noProof/>
      <w:sz w:val="20"/>
      <w:szCs w:val="20"/>
      <w:vertAlign w:val="superscript"/>
      <w:lang w:val="ro-RO"/>
    </w:rPr>
  </w:style>
  <w:style w:type="character" w:customStyle="1" w:styleId="ui-provider">
    <w:name w:val="ui-provider"/>
    <w:basedOn w:val="DefaultParagraphFont"/>
    <w:rsid w:val="00D537AE"/>
  </w:style>
  <w:style w:type="paragraph" w:styleId="NormalWeb">
    <w:name w:val="Normal (Web)"/>
    <w:basedOn w:val="Normal"/>
    <w:uiPriority w:val="99"/>
    <w:semiHidden/>
    <w:unhideWhenUsed/>
    <w:rsid w:val="00D537AE"/>
    <w:pPr>
      <w:spacing w:before="100" w:beforeAutospacing="1" w:after="100" w:afterAutospacing="1"/>
      <w:jc w:val="left"/>
    </w:pPr>
    <w:rPr>
      <w:rFonts w:eastAsia="Times New Roman"/>
      <w:szCs w:val="24"/>
    </w:rPr>
  </w:style>
  <w:style w:type="character" w:styleId="Strong">
    <w:name w:val="Strong"/>
    <w:uiPriority w:val="22"/>
    <w:qFormat/>
    <w:rsid w:val="00220A69"/>
    <w:rPr>
      <w:b/>
      <w:bCs/>
    </w:rPr>
  </w:style>
  <w:style w:type="paragraph" w:customStyle="1" w:styleId="Default">
    <w:name w:val="Default"/>
    <w:rsid w:val="007A02A7"/>
    <w:pPr>
      <w:autoSpaceDE w:val="0"/>
      <w:autoSpaceDN w:val="0"/>
      <w:adjustRightInd w:val="0"/>
    </w:pPr>
    <w:rPr>
      <w:rFonts w:ascii="Trebuchet MS" w:hAnsi="Trebuchet MS" w:cs="Trebuchet MS"/>
      <w:color w:val="000000"/>
      <w:sz w:val="24"/>
      <w:szCs w:val="24"/>
      <w:lang w:val="en-US" w:eastAsia="en-US"/>
    </w:rPr>
  </w:style>
  <w:style w:type="paragraph" w:styleId="Revision">
    <w:name w:val="Revision"/>
    <w:hidden/>
    <w:uiPriority w:val="99"/>
    <w:semiHidden/>
    <w:rsid w:val="002A14B3"/>
    <w:rPr>
      <w:rFonts w:ascii="Times New Roman" w:hAnsi="Times New Roman"/>
      <w:sz w:val="24"/>
      <w:szCs w:val="22"/>
      <w:lang w:val="en-US" w:eastAsia="en-US"/>
    </w:rPr>
  </w:style>
  <w:style w:type="character" w:styleId="CommentReference">
    <w:name w:val="annotation reference"/>
    <w:uiPriority w:val="99"/>
    <w:semiHidden/>
    <w:unhideWhenUsed/>
    <w:rsid w:val="00112438"/>
    <w:rPr>
      <w:sz w:val="16"/>
      <w:szCs w:val="16"/>
    </w:rPr>
  </w:style>
  <w:style w:type="paragraph" w:styleId="CommentText">
    <w:name w:val="annotation text"/>
    <w:basedOn w:val="Normal"/>
    <w:link w:val="CommentTextChar"/>
    <w:uiPriority w:val="99"/>
    <w:unhideWhenUsed/>
    <w:rsid w:val="00DE5829"/>
    <w:rPr>
      <w:sz w:val="20"/>
      <w:szCs w:val="20"/>
    </w:rPr>
  </w:style>
  <w:style w:type="character" w:customStyle="1" w:styleId="CommentTextChar">
    <w:name w:val="Comment Text Char"/>
    <w:link w:val="CommentText"/>
    <w:uiPriority w:val="99"/>
    <w:rsid w:val="00DE582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5829"/>
    <w:rPr>
      <w:b/>
      <w:bCs/>
    </w:rPr>
  </w:style>
  <w:style w:type="character" w:customStyle="1" w:styleId="CommentSubjectChar">
    <w:name w:val="Comment Subject Char"/>
    <w:link w:val="CommentSubject"/>
    <w:uiPriority w:val="99"/>
    <w:semiHidden/>
    <w:rsid w:val="00DE582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53">
      <w:bodyDiv w:val="1"/>
      <w:marLeft w:val="0"/>
      <w:marRight w:val="0"/>
      <w:marTop w:val="0"/>
      <w:marBottom w:val="0"/>
      <w:divBdr>
        <w:top w:val="none" w:sz="0" w:space="0" w:color="auto"/>
        <w:left w:val="none" w:sz="0" w:space="0" w:color="auto"/>
        <w:bottom w:val="none" w:sz="0" w:space="0" w:color="auto"/>
        <w:right w:val="none" w:sz="0" w:space="0" w:color="auto"/>
      </w:divBdr>
      <w:divsChild>
        <w:div w:id="862942352">
          <w:marLeft w:val="187"/>
          <w:marRight w:val="86"/>
          <w:marTop w:val="0"/>
          <w:marBottom w:val="0"/>
          <w:divBdr>
            <w:top w:val="none" w:sz="0" w:space="0" w:color="auto"/>
            <w:left w:val="none" w:sz="0" w:space="0" w:color="auto"/>
            <w:bottom w:val="none" w:sz="0" w:space="0" w:color="auto"/>
            <w:right w:val="none" w:sz="0" w:space="0" w:color="auto"/>
          </w:divBdr>
        </w:div>
        <w:div w:id="1662077353">
          <w:marLeft w:val="187"/>
          <w:marRight w:val="86"/>
          <w:marTop w:val="0"/>
          <w:marBottom w:val="0"/>
          <w:divBdr>
            <w:top w:val="none" w:sz="0" w:space="0" w:color="auto"/>
            <w:left w:val="none" w:sz="0" w:space="0" w:color="auto"/>
            <w:bottom w:val="none" w:sz="0" w:space="0" w:color="auto"/>
            <w:right w:val="none" w:sz="0" w:space="0" w:color="auto"/>
          </w:divBdr>
        </w:div>
        <w:div w:id="2077510169">
          <w:marLeft w:val="187"/>
          <w:marRight w:val="86"/>
          <w:marTop w:val="0"/>
          <w:marBottom w:val="0"/>
          <w:divBdr>
            <w:top w:val="none" w:sz="0" w:space="0" w:color="auto"/>
            <w:left w:val="none" w:sz="0" w:space="0" w:color="auto"/>
            <w:bottom w:val="none" w:sz="0" w:space="0" w:color="auto"/>
            <w:right w:val="none" w:sz="0" w:space="0" w:color="auto"/>
          </w:divBdr>
        </w:div>
      </w:divsChild>
    </w:div>
    <w:div w:id="336268345">
      <w:bodyDiv w:val="1"/>
      <w:marLeft w:val="0"/>
      <w:marRight w:val="0"/>
      <w:marTop w:val="0"/>
      <w:marBottom w:val="0"/>
      <w:divBdr>
        <w:top w:val="none" w:sz="0" w:space="0" w:color="auto"/>
        <w:left w:val="none" w:sz="0" w:space="0" w:color="auto"/>
        <w:bottom w:val="none" w:sz="0" w:space="0" w:color="auto"/>
        <w:right w:val="none" w:sz="0" w:space="0" w:color="auto"/>
      </w:divBdr>
    </w:div>
    <w:div w:id="355734075">
      <w:bodyDiv w:val="1"/>
      <w:marLeft w:val="0"/>
      <w:marRight w:val="0"/>
      <w:marTop w:val="0"/>
      <w:marBottom w:val="0"/>
      <w:divBdr>
        <w:top w:val="none" w:sz="0" w:space="0" w:color="auto"/>
        <w:left w:val="none" w:sz="0" w:space="0" w:color="auto"/>
        <w:bottom w:val="none" w:sz="0" w:space="0" w:color="auto"/>
        <w:right w:val="none" w:sz="0" w:space="0" w:color="auto"/>
      </w:divBdr>
    </w:div>
    <w:div w:id="441998012">
      <w:bodyDiv w:val="1"/>
      <w:marLeft w:val="0"/>
      <w:marRight w:val="0"/>
      <w:marTop w:val="0"/>
      <w:marBottom w:val="0"/>
      <w:divBdr>
        <w:top w:val="none" w:sz="0" w:space="0" w:color="auto"/>
        <w:left w:val="none" w:sz="0" w:space="0" w:color="auto"/>
        <w:bottom w:val="none" w:sz="0" w:space="0" w:color="auto"/>
        <w:right w:val="none" w:sz="0" w:space="0" w:color="auto"/>
      </w:divBdr>
      <w:divsChild>
        <w:div w:id="657423706">
          <w:marLeft w:val="446"/>
          <w:marRight w:val="0"/>
          <w:marTop w:val="0"/>
          <w:marBottom w:val="0"/>
          <w:divBdr>
            <w:top w:val="none" w:sz="0" w:space="0" w:color="auto"/>
            <w:left w:val="none" w:sz="0" w:space="0" w:color="auto"/>
            <w:bottom w:val="none" w:sz="0" w:space="0" w:color="auto"/>
            <w:right w:val="none" w:sz="0" w:space="0" w:color="auto"/>
          </w:divBdr>
        </w:div>
        <w:div w:id="810170078">
          <w:marLeft w:val="446"/>
          <w:marRight w:val="0"/>
          <w:marTop w:val="0"/>
          <w:marBottom w:val="0"/>
          <w:divBdr>
            <w:top w:val="none" w:sz="0" w:space="0" w:color="auto"/>
            <w:left w:val="none" w:sz="0" w:space="0" w:color="auto"/>
            <w:bottom w:val="none" w:sz="0" w:space="0" w:color="auto"/>
            <w:right w:val="none" w:sz="0" w:space="0" w:color="auto"/>
          </w:divBdr>
        </w:div>
        <w:div w:id="1459714981">
          <w:marLeft w:val="446"/>
          <w:marRight w:val="0"/>
          <w:marTop w:val="0"/>
          <w:marBottom w:val="0"/>
          <w:divBdr>
            <w:top w:val="none" w:sz="0" w:space="0" w:color="auto"/>
            <w:left w:val="none" w:sz="0" w:space="0" w:color="auto"/>
            <w:bottom w:val="none" w:sz="0" w:space="0" w:color="auto"/>
            <w:right w:val="none" w:sz="0" w:space="0" w:color="auto"/>
          </w:divBdr>
        </w:div>
        <w:div w:id="1667712052">
          <w:marLeft w:val="446"/>
          <w:marRight w:val="0"/>
          <w:marTop w:val="0"/>
          <w:marBottom w:val="0"/>
          <w:divBdr>
            <w:top w:val="none" w:sz="0" w:space="0" w:color="auto"/>
            <w:left w:val="none" w:sz="0" w:space="0" w:color="auto"/>
            <w:bottom w:val="none" w:sz="0" w:space="0" w:color="auto"/>
            <w:right w:val="none" w:sz="0" w:space="0" w:color="auto"/>
          </w:divBdr>
        </w:div>
      </w:divsChild>
    </w:div>
    <w:div w:id="475874396">
      <w:bodyDiv w:val="1"/>
      <w:marLeft w:val="0"/>
      <w:marRight w:val="0"/>
      <w:marTop w:val="0"/>
      <w:marBottom w:val="0"/>
      <w:divBdr>
        <w:top w:val="none" w:sz="0" w:space="0" w:color="auto"/>
        <w:left w:val="none" w:sz="0" w:space="0" w:color="auto"/>
        <w:bottom w:val="none" w:sz="0" w:space="0" w:color="auto"/>
        <w:right w:val="none" w:sz="0" w:space="0" w:color="auto"/>
      </w:divBdr>
    </w:div>
    <w:div w:id="496312804">
      <w:bodyDiv w:val="1"/>
      <w:marLeft w:val="0"/>
      <w:marRight w:val="0"/>
      <w:marTop w:val="0"/>
      <w:marBottom w:val="0"/>
      <w:divBdr>
        <w:top w:val="none" w:sz="0" w:space="0" w:color="auto"/>
        <w:left w:val="none" w:sz="0" w:space="0" w:color="auto"/>
        <w:bottom w:val="none" w:sz="0" w:space="0" w:color="auto"/>
        <w:right w:val="none" w:sz="0" w:space="0" w:color="auto"/>
      </w:divBdr>
    </w:div>
    <w:div w:id="500006536">
      <w:bodyDiv w:val="1"/>
      <w:marLeft w:val="0"/>
      <w:marRight w:val="0"/>
      <w:marTop w:val="0"/>
      <w:marBottom w:val="0"/>
      <w:divBdr>
        <w:top w:val="none" w:sz="0" w:space="0" w:color="auto"/>
        <w:left w:val="none" w:sz="0" w:space="0" w:color="auto"/>
        <w:bottom w:val="none" w:sz="0" w:space="0" w:color="auto"/>
        <w:right w:val="none" w:sz="0" w:space="0" w:color="auto"/>
      </w:divBdr>
      <w:divsChild>
        <w:div w:id="1051079507">
          <w:marLeft w:val="1080"/>
          <w:marRight w:val="0"/>
          <w:marTop w:val="100"/>
          <w:marBottom w:val="0"/>
          <w:divBdr>
            <w:top w:val="none" w:sz="0" w:space="0" w:color="auto"/>
            <w:left w:val="none" w:sz="0" w:space="0" w:color="auto"/>
            <w:bottom w:val="none" w:sz="0" w:space="0" w:color="auto"/>
            <w:right w:val="none" w:sz="0" w:space="0" w:color="auto"/>
          </w:divBdr>
        </w:div>
        <w:div w:id="1439442927">
          <w:marLeft w:val="1080"/>
          <w:marRight w:val="0"/>
          <w:marTop w:val="100"/>
          <w:marBottom w:val="0"/>
          <w:divBdr>
            <w:top w:val="none" w:sz="0" w:space="0" w:color="auto"/>
            <w:left w:val="none" w:sz="0" w:space="0" w:color="auto"/>
            <w:bottom w:val="none" w:sz="0" w:space="0" w:color="auto"/>
            <w:right w:val="none" w:sz="0" w:space="0" w:color="auto"/>
          </w:divBdr>
        </w:div>
        <w:div w:id="1576743096">
          <w:marLeft w:val="1886"/>
          <w:marRight w:val="0"/>
          <w:marTop w:val="100"/>
          <w:marBottom w:val="0"/>
          <w:divBdr>
            <w:top w:val="none" w:sz="0" w:space="0" w:color="auto"/>
            <w:left w:val="none" w:sz="0" w:space="0" w:color="auto"/>
            <w:bottom w:val="none" w:sz="0" w:space="0" w:color="auto"/>
            <w:right w:val="none" w:sz="0" w:space="0" w:color="auto"/>
          </w:divBdr>
        </w:div>
        <w:div w:id="1654067454">
          <w:marLeft w:val="1886"/>
          <w:marRight w:val="0"/>
          <w:marTop w:val="100"/>
          <w:marBottom w:val="0"/>
          <w:divBdr>
            <w:top w:val="none" w:sz="0" w:space="0" w:color="auto"/>
            <w:left w:val="none" w:sz="0" w:space="0" w:color="auto"/>
            <w:bottom w:val="none" w:sz="0" w:space="0" w:color="auto"/>
            <w:right w:val="none" w:sz="0" w:space="0" w:color="auto"/>
          </w:divBdr>
        </w:div>
        <w:div w:id="2023775496">
          <w:marLeft w:val="1886"/>
          <w:marRight w:val="0"/>
          <w:marTop w:val="100"/>
          <w:marBottom w:val="0"/>
          <w:divBdr>
            <w:top w:val="none" w:sz="0" w:space="0" w:color="auto"/>
            <w:left w:val="none" w:sz="0" w:space="0" w:color="auto"/>
            <w:bottom w:val="none" w:sz="0" w:space="0" w:color="auto"/>
            <w:right w:val="none" w:sz="0" w:space="0" w:color="auto"/>
          </w:divBdr>
        </w:div>
      </w:divsChild>
    </w:div>
    <w:div w:id="822089335">
      <w:bodyDiv w:val="1"/>
      <w:marLeft w:val="0"/>
      <w:marRight w:val="0"/>
      <w:marTop w:val="0"/>
      <w:marBottom w:val="0"/>
      <w:divBdr>
        <w:top w:val="none" w:sz="0" w:space="0" w:color="auto"/>
        <w:left w:val="none" w:sz="0" w:space="0" w:color="auto"/>
        <w:bottom w:val="none" w:sz="0" w:space="0" w:color="auto"/>
        <w:right w:val="none" w:sz="0" w:space="0" w:color="auto"/>
      </w:divBdr>
    </w:div>
    <w:div w:id="876937387">
      <w:bodyDiv w:val="1"/>
      <w:marLeft w:val="0"/>
      <w:marRight w:val="0"/>
      <w:marTop w:val="0"/>
      <w:marBottom w:val="0"/>
      <w:divBdr>
        <w:top w:val="none" w:sz="0" w:space="0" w:color="auto"/>
        <w:left w:val="none" w:sz="0" w:space="0" w:color="auto"/>
        <w:bottom w:val="none" w:sz="0" w:space="0" w:color="auto"/>
        <w:right w:val="none" w:sz="0" w:space="0" w:color="auto"/>
      </w:divBdr>
    </w:div>
    <w:div w:id="1503666099">
      <w:bodyDiv w:val="1"/>
      <w:marLeft w:val="0"/>
      <w:marRight w:val="0"/>
      <w:marTop w:val="0"/>
      <w:marBottom w:val="0"/>
      <w:divBdr>
        <w:top w:val="none" w:sz="0" w:space="0" w:color="auto"/>
        <w:left w:val="none" w:sz="0" w:space="0" w:color="auto"/>
        <w:bottom w:val="none" w:sz="0" w:space="0" w:color="auto"/>
        <w:right w:val="none" w:sz="0" w:space="0" w:color="auto"/>
      </w:divBdr>
    </w:div>
    <w:div w:id="1709376290">
      <w:bodyDiv w:val="1"/>
      <w:marLeft w:val="0"/>
      <w:marRight w:val="0"/>
      <w:marTop w:val="0"/>
      <w:marBottom w:val="0"/>
      <w:divBdr>
        <w:top w:val="none" w:sz="0" w:space="0" w:color="auto"/>
        <w:left w:val="none" w:sz="0" w:space="0" w:color="auto"/>
        <w:bottom w:val="none" w:sz="0" w:space="0" w:color="auto"/>
        <w:right w:val="none" w:sz="0" w:space="0" w:color="auto"/>
      </w:divBdr>
      <w:divsChild>
        <w:div w:id="82337968">
          <w:marLeft w:val="1886"/>
          <w:marRight w:val="0"/>
          <w:marTop w:val="100"/>
          <w:marBottom w:val="0"/>
          <w:divBdr>
            <w:top w:val="none" w:sz="0" w:space="0" w:color="auto"/>
            <w:left w:val="none" w:sz="0" w:space="0" w:color="auto"/>
            <w:bottom w:val="none" w:sz="0" w:space="0" w:color="auto"/>
            <w:right w:val="none" w:sz="0" w:space="0" w:color="auto"/>
          </w:divBdr>
        </w:div>
        <w:div w:id="205608979">
          <w:marLeft w:val="1080"/>
          <w:marRight w:val="0"/>
          <w:marTop w:val="100"/>
          <w:marBottom w:val="0"/>
          <w:divBdr>
            <w:top w:val="none" w:sz="0" w:space="0" w:color="auto"/>
            <w:left w:val="none" w:sz="0" w:space="0" w:color="auto"/>
            <w:bottom w:val="none" w:sz="0" w:space="0" w:color="auto"/>
            <w:right w:val="none" w:sz="0" w:space="0" w:color="auto"/>
          </w:divBdr>
        </w:div>
        <w:div w:id="772700455">
          <w:marLeft w:val="1886"/>
          <w:marRight w:val="0"/>
          <w:marTop w:val="100"/>
          <w:marBottom w:val="0"/>
          <w:divBdr>
            <w:top w:val="none" w:sz="0" w:space="0" w:color="auto"/>
            <w:left w:val="none" w:sz="0" w:space="0" w:color="auto"/>
            <w:bottom w:val="none" w:sz="0" w:space="0" w:color="auto"/>
            <w:right w:val="none" w:sz="0" w:space="0" w:color="auto"/>
          </w:divBdr>
        </w:div>
        <w:div w:id="874804568">
          <w:marLeft w:val="1886"/>
          <w:marRight w:val="0"/>
          <w:marTop w:val="100"/>
          <w:marBottom w:val="0"/>
          <w:divBdr>
            <w:top w:val="none" w:sz="0" w:space="0" w:color="auto"/>
            <w:left w:val="none" w:sz="0" w:space="0" w:color="auto"/>
            <w:bottom w:val="none" w:sz="0" w:space="0" w:color="auto"/>
            <w:right w:val="none" w:sz="0" w:space="0" w:color="auto"/>
          </w:divBdr>
        </w:div>
        <w:div w:id="1236816381">
          <w:marLeft w:val="1080"/>
          <w:marRight w:val="0"/>
          <w:marTop w:val="100"/>
          <w:marBottom w:val="0"/>
          <w:divBdr>
            <w:top w:val="none" w:sz="0" w:space="0" w:color="auto"/>
            <w:left w:val="none" w:sz="0" w:space="0" w:color="auto"/>
            <w:bottom w:val="none" w:sz="0" w:space="0" w:color="auto"/>
            <w:right w:val="none" w:sz="0" w:space="0" w:color="auto"/>
          </w:divBdr>
        </w:div>
      </w:divsChild>
    </w:div>
    <w:div w:id="1947737633">
      <w:bodyDiv w:val="1"/>
      <w:marLeft w:val="0"/>
      <w:marRight w:val="0"/>
      <w:marTop w:val="0"/>
      <w:marBottom w:val="0"/>
      <w:divBdr>
        <w:top w:val="none" w:sz="0" w:space="0" w:color="auto"/>
        <w:left w:val="none" w:sz="0" w:space="0" w:color="auto"/>
        <w:bottom w:val="none" w:sz="0" w:space="0" w:color="auto"/>
        <w:right w:val="none" w:sz="0" w:space="0" w:color="auto"/>
      </w:divBdr>
    </w:div>
    <w:div w:id="20671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y%20Documents%202015/Marea%20Neagra/directiva%20mare/Transpunere/2023/AppData/Local/Microsoft/Windows/INetCache/Content.Outlook/AppData/Local/Microsoft/Windows/INetCache/Content.Outlook/AppData/Local/Microsoft/Windows/Temporary%20Internet%20Files/Content.Outlook/AppData/Local/Microsoft/Windows/Temporary%20Internet%20Files/Content.Outlook/catalin.caluian/Desktop/Salvari%20februarie%202011/Documente/AppData/Local/Microsoft/Windows/INetCache/Content.Outlook/AppData/AppData/Local/Microsoft/Windows/INetCache/Content.Outlook/QVTSDQTC/Claudiu%20Lucrari/AppData/Local/Microsoft/Windows/INetCache/Content.Outlook/sintact%204.0/cache/Legislatie/temp68636/00057056.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A3FC7CE72C1546B895C1531503FDFF" ma:contentTypeVersion="16" ma:contentTypeDescription="Create a new document." ma:contentTypeScope="" ma:versionID="765c770832d139ede4887a11f31fdd9b">
  <xsd:schema xmlns:xsd="http://www.w3.org/2001/XMLSchema" xmlns:xs="http://www.w3.org/2001/XMLSchema" xmlns:p="http://schemas.microsoft.com/office/2006/metadata/properties" xmlns:ns3="21a7e081-321e-4eba-8bfe-7cb42100fa84" xmlns:ns4="66d4c6a7-eefc-47ae-a38b-600b747fbfa5" targetNamespace="http://schemas.microsoft.com/office/2006/metadata/properties" ma:root="true" ma:fieldsID="71fb06af308ba4c5fc0391e941790014" ns3:_="" ns4:_="">
    <xsd:import namespace="21a7e081-321e-4eba-8bfe-7cb42100fa84"/>
    <xsd:import namespace="66d4c6a7-eefc-47ae-a38b-600b747fb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e081-321e-4eba-8bfe-7cb42100fa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c6a7-eefc-47ae-a38b-600b747fb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1a7e081-321e-4eba-8bfe-7cb42100fa84" xsi:nil="true"/>
  </documentManagement>
</p:properties>
</file>

<file path=customXml/itemProps1.xml><?xml version="1.0" encoding="utf-8"?>
<ds:datastoreItem xmlns:ds="http://schemas.openxmlformats.org/officeDocument/2006/customXml" ds:itemID="{5FBF0C48-4173-4D29-BFB4-E7CBF7774579}">
  <ds:schemaRefs>
    <ds:schemaRef ds:uri="http://schemas.openxmlformats.org/officeDocument/2006/bibliography"/>
  </ds:schemaRefs>
</ds:datastoreItem>
</file>

<file path=customXml/itemProps2.xml><?xml version="1.0" encoding="utf-8"?>
<ds:datastoreItem xmlns:ds="http://schemas.openxmlformats.org/officeDocument/2006/customXml" ds:itemID="{720889A9-00A1-4E0A-9D46-8EA89019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e081-321e-4eba-8bfe-7cb42100fa84"/>
    <ds:schemaRef ds:uri="66d4c6a7-eefc-47ae-a38b-600b747fb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EBBC4-8415-426C-86F2-38A7D3CFC34E}">
  <ds:schemaRefs>
    <ds:schemaRef ds:uri="http://schemas.microsoft.com/sharepoint/v3/contenttype/forms"/>
  </ds:schemaRefs>
</ds:datastoreItem>
</file>

<file path=customXml/itemProps4.xml><?xml version="1.0" encoding="utf-8"?>
<ds:datastoreItem xmlns:ds="http://schemas.openxmlformats.org/officeDocument/2006/customXml" ds:itemID="{D2D194EA-BE2C-4B15-AD50-9FEF4105DC68}">
  <ds:schemaRefs>
    <ds:schemaRef ds:uri="http://schemas.microsoft.com/office/2006/metadata/properties"/>
    <ds:schemaRef ds:uri="http://schemas.microsoft.com/office/infopath/2007/PartnerControls"/>
    <ds:schemaRef ds:uri="21a7e081-321e-4eba-8bfe-7cb42100fa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9755</Words>
  <Characters>55606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Ramona Ionica</cp:lastModifiedBy>
  <cp:revision>2</cp:revision>
  <cp:lastPrinted>2023-12-05T11:57:00Z</cp:lastPrinted>
  <dcterms:created xsi:type="dcterms:W3CDTF">2023-12-14T11:42:00Z</dcterms:created>
  <dcterms:modified xsi:type="dcterms:W3CDTF">2023-12-14T11:42:00Z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0x010100FCA3FC7CE72C1546B895C1531503FDFF</vt:lpwstr>
  </property>
</Properties>
</file>