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A5F8" w14:textId="77777777" w:rsidR="00C31F1E" w:rsidRDefault="008B1E26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noProof/>
          <w:sz w:val="24"/>
          <w:szCs w:val="24"/>
        </w:rPr>
        <w:drawing>
          <wp:inline distT="0" distB="0" distL="0" distR="0" wp14:anchorId="7556515A" wp14:editId="0B7BEBD9">
            <wp:extent cx="5991225" cy="609600"/>
            <wp:effectExtent l="0" t="0" r="0" b="0"/>
            <wp:docPr id="2" name="image3.png" descr="C:\Users\User\AppData\Local\Microsoft\Windows\INetCache\Content.Word\Header-POCA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User\AppData\Local\Microsoft\Windows\INetCache\Content.Word\Header-POCA-colo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8A0A83" w14:textId="77777777" w:rsidR="00C31F1E" w:rsidRDefault="00C31F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44C22140" w14:textId="77777777" w:rsidR="00C31F1E" w:rsidRDefault="008B1E26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noProof/>
          <w:sz w:val="24"/>
          <w:szCs w:val="24"/>
        </w:rPr>
        <w:drawing>
          <wp:inline distT="0" distB="0" distL="0" distR="0" wp14:anchorId="2C13AAF1" wp14:editId="0991A17E">
            <wp:extent cx="6267450" cy="35242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827009" w14:textId="77777777" w:rsidR="00C31F1E" w:rsidRDefault="00C31F1E">
      <w:pPr>
        <w:spacing w:line="240" w:lineRule="auto"/>
        <w:jc w:val="right"/>
        <w:rPr>
          <w:rFonts w:ascii="Trebuchet MS" w:eastAsia="Trebuchet MS" w:hAnsi="Trebuchet MS" w:cs="Trebuchet MS"/>
        </w:rPr>
      </w:pPr>
    </w:p>
    <w:p w14:paraId="3510F6AA" w14:textId="53FF19C1" w:rsidR="00C31F1E" w:rsidRDefault="00774A3D">
      <w:pPr>
        <w:spacing w:line="240" w:lineRule="auto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30 septembrie 2022</w:t>
      </w:r>
    </w:p>
    <w:p w14:paraId="66D3B916" w14:textId="77777777" w:rsidR="00C31F1E" w:rsidRDefault="00C31F1E">
      <w:pPr>
        <w:spacing w:line="240" w:lineRule="auto"/>
        <w:jc w:val="both"/>
        <w:rPr>
          <w:rFonts w:ascii="Trebuchet MS" w:eastAsia="Trebuchet MS" w:hAnsi="Trebuchet MS" w:cs="Trebuchet MS"/>
          <w:sz w:val="15"/>
          <w:szCs w:val="15"/>
        </w:rPr>
      </w:pPr>
    </w:p>
    <w:p w14:paraId="6AED0565" w14:textId="5E15DAA5" w:rsidR="00161EBC" w:rsidRDefault="008B1E26" w:rsidP="00161EBC">
      <w:pPr>
        <w:spacing w:line="360" w:lineRule="auto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REF: </w:t>
      </w:r>
      <w:bookmarkStart w:id="0" w:name="_Hlk115430137"/>
      <w:r w:rsidR="00774A3D">
        <w:rPr>
          <w:rFonts w:ascii="Trebuchet MS" w:eastAsia="Trebuchet MS" w:hAnsi="Trebuchet MS" w:cs="Trebuchet MS"/>
          <w:b/>
        </w:rPr>
        <w:t xml:space="preserve">Hărțile </w:t>
      </w:r>
      <w:r w:rsidR="00161EBC" w:rsidRPr="00161EBC">
        <w:rPr>
          <w:rFonts w:ascii="Trebuchet MS" w:eastAsia="Trebuchet MS" w:hAnsi="Trebuchet MS" w:cs="Trebuchet MS"/>
          <w:b/>
        </w:rPr>
        <w:t>de Hazard și Risc la Inundații (HHRI) reactualizate, elaborate în cadrul proiectului RO-FLOODS</w:t>
      </w:r>
      <w:bookmarkEnd w:id="0"/>
      <w:r w:rsidR="00161EBC" w:rsidRPr="00161EBC">
        <w:rPr>
          <w:rFonts w:ascii="Trebuchet MS" w:eastAsia="Trebuchet MS" w:hAnsi="Trebuchet MS" w:cs="Trebuchet MS"/>
          <w:b/>
        </w:rPr>
        <w:t xml:space="preserve">, </w:t>
      </w:r>
      <w:r w:rsidR="00161EBC">
        <w:rPr>
          <w:rFonts w:ascii="Trebuchet MS" w:eastAsia="Trebuchet MS" w:hAnsi="Trebuchet MS" w:cs="Trebuchet MS"/>
          <w:b/>
        </w:rPr>
        <w:t>au fost transmise către Comisia Europeană</w:t>
      </w:r>
      <w:r w:rsidR="00BA1745">
        <w:rPr>
          <w:rFonts w:ascii="Trebuchet MS" w:eastAsia="Trebuchet MS" w:hAnsi="Trebuchet MS" w:cs="Trebuchet MS"/>
          <w:b/>
        </w:rPr>
        <w:t xml:space="preserve"> și se așteaptă ultima validare pentru Pachetul de date descriptive</w:t>
      </w:r>
      <w:r w:rsidR="00BB7BCC">
        <w:rPr>
          <w:rFonts w:ascii="Trebuchet MS" w:eastAsia="Trebuchet MS" w:hAnsi="Trebuchet MS" w:cs="Trebuchet MS"/>
          <w:b/>
        </w:rPr>
        <w:t xml:space="preserve">; </w:t>
      </w:r>
      <w:r w:rsidR="009E2717">
        <w:rPr>
          <w:rFonts w:ascii="Trebuchet MS" w:eastAsia="Trebuchet MS" w:hAnsi="Trebuchet MS" w:cs="Trebuchet MS"/>
          <w:b/>
        </w:rPr>
        <w:t xml:space="preserve">România </w:t>
      </w:r>
      <w:r w:rsidR="0097537F">
        <w:rPr>
          <w:rFonts w:ascii="Trebuchet MS" w:eastAsia="Trebuchet MS" w:hAnsi="Trebuchet MS" w:cs="Trebuchet MS"/>
          <w:b/>
        </w:rPr>
        <w:t xml:space="preserve">îndeplinește astfel </w:t>
      </w:r>
      <w:r w:rsidR="00B27BBC">
        <w:rPr>
          <w:rFonts w:ascii="Trebuchet MS" w:eastAsia="Trebuchet MS" w:hAnsi="Trebuchet MS" w:cs="Trebuchet MS"/>
          <w:b/>
        </w:rPr>
        <w:t xml:space="preserve">solicitările cuprinse în </w:t>
      </w:r>
      <w:r w:rsidR="00A22835">
        <w:rPr>
          <w:rFonts w:ascii="Trebuchet MS" w:eastAsia="Trebuchet MS" w:hAnsi="Trebuchet MS" w:cs="Trebuchet MS"/>
          <w:b/>
        </w:rPr>
        <w:t>procedura de infringement declanșată de C</w:t>
      </w:r>
      <w:r w:rsidR="00B000BF">
        <w:rPr>
          <w:rFonts w:ascii="Trebuchet MS" w:eastAsia="Trebuchet MS" w:hAnsi="Trebuchet MS" w:cs="Trebuchet MS"/>
          <w:b/>
        </w:rPr>
        <w:t>.</w:t>
      </w:r>
      <w:r w:rsidR="00A22835">
        <w:rPr>
          <w:rFonts w:ascii="Trebuchet MS" w:eastAsia="Trebuchet MS" w:hAnsi="Trebuchet MS" w:cs="Trebuchet MS"/>
          <w:b/>
        </w:rPr>
        <w:t>E</w:t>
      </w:r>
    </w:p>
    <w:p w14:paraId="625A469D" w14:textId="77777777" w:rsidR="00161EBC" w:rsidRDefault="00161EBC" w:rsidP="00161EBC">
      <w:pPr>
        <w:spacing w:line="360" w:lineRule="auto"/>
        <w:jc w:val="both"/>
        <w:rPr>
          <w:rFonts w:ascii="Trebuchet MS" w:eastAsia="Trebuchet MS" w:hAnsi="Trebuchet MS" w:cs="Trebuchet MS"/>
          <w:b/>
        </w:rPr>
      </w:pPr>
    </w:p>
    <w:p w14:paraId="6A9B5F48" w14:textId="77FF343A" w:rsidR="00161EBC" w:rsidRDefault="00161EBC" w:rsidP="00161EBC">
      <w:pPr>
        <w:spacing w:line="360" w:lineRule="auto"/>
        <w:jc w:val="both"/>
        <w:rPr>
          <w:rFonts w:ascii="Trebuchet MS" w:eastAsia="Trebuchet MS" w:hAnsi="Trebuchet MS" w:cs="Trebuchet MS"/>
          <w:bCs/>
        </w:rPr>
      </w:pPr>
      <w:r w:rsidRPr="00F964BD">
        <w:rPr>
          <w:rFonts w:ascii="Trebuchet MS" w:eastAsia="Trebuchet MS" w:hAnsi="Trebuchet MS" w:cs="Trebuchet MS"/>
          <w:bCs/>
        </w:rPr>
        <w:t xml:space="preserve">România </w:t>
      </w:r>
      <w:r w:rsidR="00314FCB">
        <w:rPr>
          <w:rFonts w:ascii="Trebuchet MS" w:eastAsia="Trebuchet MS" w:hAnsi="Trebuchet MS" w:cs="Trebuchet MS"/>
          <w:bCs/>
        </w:rPr>
        <w:t xml:space="preserve">este în faza finală a procesului de raportare a </w:t>
      </w:r>
      <w:r w:rsidRPr="00F964BD">
        <w:rPr>
          <w:rFonts w:ascii="Trebuchet MS" w:eastAsia="Trebuchet MS" w:hAnsi="Trebuchet MS" w:cs="Trebuchet MS"/>
          <w:bCs/>
        </w:rPr>
        <w:t>obligațiil</w:t>
      </w:r>
      <w:r w:rsidR="00314FCB">
        <w:rPr>
          <w:rFonts w:ascii="Trebuchet MS" w:eastAsia="Trebuchet MS" w:hAnsi="Trebuchet MS" w:cs="Trebuchet MS"/>
          <w:bCs/>
        </w:rPr>
        <w:t>or</w:t>
      </w:r>
      <w:r w:rsidRPr="00F964BD">
        <w:rPr>
          <w:rFonts w:ascii="Trebuchet MS" w:eastAsia="Trebuchet MS" w:hAnsi="Trebuchet MS" w:cs="Trebuchet MS"/>
          <w:bCs/>
        </w:rPr>
        <w:t xml:space="preserve"> în calitate de Stat Membru, în conformitate </w:t>
      </w:r>
      <w:r w:rsidR="005B228D">
        <w:rPr>
          <w:rFonts w:ascii="Trebuchet MS" w:eastAsia="Trebuchet MS" w:hAnsi="Trebuchet MS" w:cs="Trebuchet MS"/>
          <w:bCs/>
        </w:rPr>
        <w:t xml:space="preserve">cu </w:t>
      </w:r>
      <w:r w:rsidRPr="00F964BD">
        <w:rPr>
          <w:rFonts w:ascii="Trebuchet MS" w:eastAsia="Trebuchet MS" w:hAnsi="Trebuchet MS" w:cs="Trebuchet MS"/>
          <w:bCs/>
        </w:rPr>
        <w:t>Directiv</w:t>
      </w:r>
      <w:r w:rsidR="005B228D">
        <w:rPr>
          <w:rFonts w:ascii="Trebuchet MS" w:eastAsia="Trebuchet MS" w:hAnsi="Trebuchet MS" w:cs="Trebuchet MS"/>
          <w:bCs/>
        </w:rPr>
        <w:t>a</w:t>
      </w:r>
      <w:r w:rsidRPr="00F964BD">
        <w:rPr>
          <w:rFonts w:ascii="Trebuchet MS" w:eastAsia="Trebuchet MS" w:hAnsi="Trebuchet MS" w:cs="Trebuchet MS"/>
          <w:bCs/>
        </w:rPr>
        <w:t xml:space="preserve"> Inundații, și a transmis, în </w:t>
      </w:r>
      <w:r w:rsidR="00BA1745">
        <w:rPr>
          <w:rFonts w:ascii="Trebuchet MS" w:eastAsia="Trebuchet MS" w:hAnsi="Trebuchet MS" w:cs="Trebuchet MS"/>
          <w:bCs/>
        </w:rPr>
        <w:t>ultima săptămână</w:t>
      </w:r>
      <w:r w:rsidRPr="00F964BD">
        <w:rPr>
          <w:rFonts w:ascii="Trebuchet MS" w:eastAsia="Trebuchet MS" w:hAnsi="Trebuchet MS" w:cs="Trebuchet MS"/>
          <w:bCs/>
        </w:rPr>
        <w:t xml:space="preserve">, către </w:t>
      </w:r>
      <w:r w:rsidR="00BA1745">
        <w:rPr>
          <w:rFonts w:ascii="Trebuchet MS" w:eastAsia="Trebuchet MS" w:hAnsi="Trebuchet MS" w:cs="Trebuchet MS"/>
          <w:bCs/>
        </w:rPr>
        <w:t xml:space="preserve">Platforma EIONET a </w:t>
      </w:r>
      <w:r w:rsidRPr="00F964BD">
        <w:rPr>
          <w:rFonts w:ascii="Trebuchet MS" w:eastAsia="Trebuchet MS" w:hAnsi="Trebuchet MS" w:cs="Trebuchet MS"/>
          <w:bCs/>
        </w:rPr>
        <w:t>Comisi</w:t>
      </w:r>
      <w:r w:rsidR="00BA1745">
        <w:rPr>
          <w:rFonts w:ascii="Trebuchet MS" w:eastAsia="Trebuchet MS" w:hAnsi="Trebuchet MS" w:cs="Trebuchet MS"/>
          <w:bCs/>
        </w:rPr>
        <w:t>ei</w:t>
      </w:r>
      <w:r w:rsidRPr="00F964BD">
        <w:rPr>
          <w:rFonts w:ascii="Trebuchet MS" w:eastAsia="Trebuchet MS" w:hAnsi="Trebuchet MS" w:cs="Trebuchet MS"/>
          <w:bCs/>
        </w:rPr>
        <w:t xml:space="preserve"> European</w:t>
      </w:r>
      <w:r w:rsidR="00BA1745">
        <w:rPr>
          <w:rFonts w:ascii="Trebuchet MS" w:eastAsia="Trebuchet MS" w:hAnsi="Trebuchet MS" w:cs="Trebuchet MS"/>
          <w:bCs/>
        </w:rPr>
        <w:t>e</w:t>
      </w:r>
      <w:r w:rsidRPr="00F964BD">
        <w:rPr>
          <w:rFonts w:ascii="Trebuchet MS" w:eastAsia="Trebuchet MS" w:hAnsi="Trebuchet MS" w:cs="Trebuchet MS"/>
          <w:bCs/>
        </w:rPr>
        <w:t xml:space="preserve">, </w:t>
      </w:r>
      <w:r w:rsidR="00BA1745">
        <w:rPr>
          <w:rFonts w:ascii="Trebuchet MS" w:eastAsia="Trebuchet MS" w:hAnsi="Trebuchet MS" w:cs="Trebuchet MS"/>
          <w:bCs/>
        </w:rPr>
        <w:t xml:space="preserve">toate datele și informațiile necesare raportării </w:t>
      </w:r>
      <w:r w:rsidR="00BA1745" w:rsidRPr="00F964BD">
        <w:rPr>
          <w:rFonts w:ascii="Trebuchet MS" w:eastAsia="Trebuchet MS" w:hAnsi="Trebuchet MS" w:cs="Trebuchet MS"/>
          <w:bCs/>
        </w:rPr>
        <w:t>Hărțil</w:t>
      </w:r>
      <w:r w:rsidR="00BA1745">
        <w:rPr>
          <w:rFonts w:ascii="Trebuchet MS" w:eastAsia="Trebuchet MS" w:hAnsi="Trebuchet MS" w:cs="Trebuchet MS"/>
          <w:bCs/>
        </w:rPr>
        <w:t>or</w:t>
      </w:r>
      <w:r w:rsidR="00BA1745" w:rsidRPr="00F964BD">
        <w:rPr>
          <w:rFonts w:ascii="Trebuchet MS" w:eastAsia="Trebuchet MS" w:hAnsi="Trebuchet MS" w:cs="Trebuchet MS"/>
          <w:bCs/>
        </w:rPr>
        <w:t xml:space="preserve"> </w:t>
      </w:r>
      <w:r w:rsidRPr="00F964BD">
        <w:rPr>
          <w:rFonts w:ascii="Trebuchet MS" w:eastAsia="Trebuchet MS" w:hAnsi="Trebuchet MS" w:cs="Trebuchet MS"/>
          <w:bCs/>
        </w:rPr>
        <w:t>de Hazard și Risc la Inundații (HHRI) reactualizate</w:t>
      </w:r>
      <w:r w:rsidR="00BA1745">
        <w:rPr>
          <w:rFonts w:ascii="Trebuchet MS" w:eastAsia="Trebuchet MS" w:hAnsi="Trebuchet MS" w:cs="Trebuchet MS"/>
          <w:bCs/>
        </w:rPr>
        <w:t xml:space="preserve"> în cadrul Ciclului II</w:t>
      </w:r>
      <w:r w:rsidRPr="00F964BD">
        <w:rPr>
          <w:rFonts w:ascii="Trebuchet MS" w:eastAsia="Trebuchet MS" w:hAnsi="Trebuchet MS" w:cs="Trebuchet MS"/>
          <w:bCs/>
        </w:rPr>
        <w:t>, elaborate în proiectul RO-FLOODS</w:t>
      </w:r>
      <w:r w:rsidR="00F964BD" w:rsidRPr="00F964BD">
        <w:rPr>
          <w:rFonts w:ascii="Trebuchet MS" w:eastAsia="Trebuchet MS" w:hAnsi="Trebuchet MS" w:cs="Trebuchet MS"/>
          <w:bCs/>
        </w:rPr>
        <w:t>.</w:t>
      </w:r>
      <w:r w:rsidR="005B228D">
        <w:rPr>
          <w:rFonts w:ascii="Trebuchet MS" w:eastAsia="Trebuchet MS" w:hAnsi="Trebuchet MS" w:cs="Trebuchet MS"/>
          <w:bCs/>
        </w:rPr>
        <w:t xml:space="preserve"> </w:t>
      </w:r>
      <w:r w:rsidR="001434B3">
        <w:rPr>
          <w:rFonts w:ascii="Trebuchet MS" w:eastAsia="Trebuchet MS" w:hAnsi="Trebuchet MS" w:cs="Trebuchet MS"/>
          <w:bCs/>
        </w:rPr>
        <w:t>P</w:t>
      </w:r>
      <w:r w:rsidR="005B228D">
        <w:rPr>
          <w:rFonts w:ascii="Trebuchet MS" w:eastAsia="Trebuchet MS" w:hAnsi="Trebuchet MS" w:cs="Trebuchet MS"/>
          <w:bCs/>
        </w:rPr>
        <w:t>reciz</w:t>
      </w:r>
      <w:r w:rsidR="001434B3">
        <w:rPr>
          <w:rFonts w:ascii="Trebuchet MS" w:eastAsia="Trebuchet MS" w:hAnsi="Trebuchet MS" w:cs="Trebuchet MS"/>
          <w:bCs/>
        </w:rPr>
        <w:t>ă</w:t>
      </w:r>
      <w:r w:rsidR="005B228D">
        <w:rPr>
          <w:rFonts w:ascii="Trebuchet MS" w:eastAsia="Trebuchet MS" w:hAnsi="Trebuchet MS" w:cs="Trebuchet MS"/>
          <w:bCs/>
        </w:rPr>
        <w:t>m c</w:t>
      </w:r>
      <w:r w:rsidR="001434B3">
        <w:rPr>
          <w:rFonts w:ascii="Trebuchet MS" w:eastAsia="Trebuchet MS" w:hAnsi="Trebuchet MS" w:cs="Trebuchet MS"/>
          <w:bCs/>
        </w:rPr>
        <w:t>ă</w:t>
      </w:r>
      <w:r w:rsidR="005B228D">
        <w:rPr>
          <w:rFonts w:ascii="Trebuchet MS" w:eastAsia="Trebuchet MS" w:hAnsi="Trebuchet MS" w:cs="Trebuchet MS"/>
          <w:bCs/>
        </w:rPr>
        <w:t xml:space="preserve"> acest proces de raportare con</w:t>
      </w:r>
      <w:r w:rsidR="001434B3">
        <w:rPr>
          <w:rFonts w:ascii="Trebuchet MS" w:eastAsia="Trebuchet MS" w:hAnsi="Trebuchet MS" w:cs="Trebuchet MS"/>
          <w:bCs/>
        </w:rPr>
        <w:t>s</w:t>
      </w:r>
      <w:r w:rsidR="005B228D">
        <w:rPr>
          <w:rFonts w:ascii="Trebuchet MS" w:eastAsia="Trebuchet MS" w:hAnsi="Trebuchet MS" w:cs="Trebuchet MS"/>
          <w:bCs/>
        </w:rPr>
        <w:t>t</w:t>
      </w:r>
      <w:r w:rsidR="001434B3">
        <w:rPr>
          <w:rFonts w:ascii="Trebuchet MS" w:eastAsia="Trebuchet MS" w:hAnsi="Trebuchet MS" w:cs="Trebuchet MS"/>
          <w:bCs/>
        </w:rPr>
        <w:t>ă</w:t>
      </w:r>
      <w:r w:rsidR="005B228D">
        <w:rPr>
          <w:rFonts w:ascii="Trebuchet MS" w:eastAsia="Trebuchet MS" w:hAnsi="Trebuchet MS" w:cs="Trebuchet MS"/>
          <w:bCs/>
        </w:rPr>
        <w:t xml:space="preserve"> </w:t>
      </w:r>
      <w:r w:rsidR="001434B3">
        <w:rPr>
          <w:rFonts w:ascii="Trebuchet MS" w:eastAsia="Trebuchet MS" w:hAnsi="Trebuchet MS" w:cs="Trebuchet MS"/>
          <w:bCs/>
        </w:rPr>
        <w:t>î</w:t>
      </w:r>
      <w:r w:rsidR="005B228D">
        <w:rPr>
          <w:rFonts w:ascii="Trebuchet MS" w:eastAsia="Trebuchet MS" w:hAnsi="Trebuchet MS" w:cs="Trebuchet MS"/>
          <w:bCs/>
        </w:rPr>
        <w:t>n transmiterea de c</w:t>
      </w:r>
      <w:r w:rsidR="001434B3">
        <w:rPr>
          <w:rFonts w:ascii="Trebuchet MS" w:eastAsia="Trebuchet MS" w:hAnsi="Trebuchet MS" w:cs="Trebuchet MS"/>
          <w:bCs/>
        </w:rPr>
        <w:t>ă</w:t>
      </w:r>
      <w:r w:rsidR="005B228D">
        <w:rPr>
          <w:rFonts w:ascii="Trebuchet MS" w:eastAsia="Trebuchet MS" w:hAnsi="Trebuchet MS" w:cs="Trebuchet MS"/>
          <w:bCs/>
        </w:rPr>
        <w:t xml:space="preserve">tre </w:t>
      </w:r>
      <w:r w:rsidR="001434B3">
        <w:rPr>
          <w:rFonts w:ascii="Trebuchet MS" w:eastAsia="Trebuchet MS" w:hAnsi="Trebuchet MS" w:cs="Trebuchet MS"/>
          <w:bCs/>
        </w:rPr>
        <w:t>țara noastră</w:t>
      </w:r>
      <w:r w:rsidR="005B228D">
        <w:rPr>
          <w:rFonts w:ascii="Trebuchet MS" w:eastAsia="Trebuchet MS" w:hAnsi="Trebuchet MS" w:cs="Trebuchet MS"/>
          <w:bCs/>
        </w:rPr>
        <w:t xml:space="preserve"> a 3 tipuri de pachete/documente.</w:t>
      </w:r>
    </w:p>
    <w:p w14:paraId="7AC4BF71" w14:textId="5D1E968C" w:rsidR="00314FCB" w:rsidRDefault="00314FCB" w:rsidP="00314FCB">
      <w:pPr>
        <w:spacing w:line="360" w:lineRule="auto"/>
        <w:jc w:val="both"/>
        <w:rPr>
          <w:rFonts w:ascii="Trebuchet MS" w:eastAsia="Trebuchet MS" w:hAnsi="Trebuchet MS" w:cs="Trebuchet MS"/>
          <w:bCs/>
        </w:rPr>
      </w:pPr>
      <w:r>
        <w:rPr>
          <w:rFonts w:ascii="Trebuchet MS" w:eastAsia="Trebuchet MS" w:hAnsi="Trebuchet MS" w:cs="Trebuchet MS"/>
          <w:bCs/>
        </w:rPr>
        <w:t>În acest moment, România a primit confirmarea pentru finalizarea raportării aferente pachetelor de documente suport și de date spațiale, urmând ca</w:t>
      </w:r>
      <w:r w:rsidR="0062385E">
        <w:rPr>
          <w:rFonts w:ascii="Trebuchet MS" w:eastAsia="Trebuchet MS" w:hAnsi="Trebuchet MS" w:cs="Trebuchet MS"/>
          <w:bCs/>
        </w:rPr>
        <w:t>,</w:t>
      </w:r>
      <w:r>
        <w:rPr>
          <w:rFonts w:ascii="Trebuchet MS" w:eastAsia="Trebuchet MS" w:hAnsi="Trebuchet MS" w:cs="Trebuchet MS"/>
          <w:bCs/>
        </w:rPr>
        <w:t xml:space="preserve"> în perioada imediat următoare</w:t>
      </w:r>
      <w:r w:rsidR="0062385E">
        <w:rPr>
          <w:rFonts w:ascii="Trebuchet MS" w:eastAsia="Trebuchet MS" w:hAnsi="Trebuchet MS" w:cs="Trebuchet MS"/>
          <w:bCs/>
        </w:rPr>
        <w:t>,</w:t>
      </w:r>
      <w:r>
        <w:rPr>
          <w:rFonts w:ascii="Trebuchet MS" w:eastAsia="Trebuchet MS" w:hAnsi="Trebuchet MS" w:cs="Trebuchet MS"/>
          <w:bCs/>
        </w:rPr>
        <w:t xml:space="preserve"> să primească confirmarea verificării de calitate pentru datele descriptive transmise deja și care să constate încheierea procesului de raportare. </w:t>
      </w:r>
    </w:p>
    <w:p w14:paraId="20150D86" w14:textId="1C42C412" w:rsidR="00DE2551" w:rsidRPr="005744C8" w:rsidRDefault="00DE2551" w:rsidP="00314FCB">
      <w:pPr>
        <w:spacing w:line="360" w:lineRule="auto"/>
        <w:jc w:val="both"/>
        <w:rPr>
          <w:rFonts w:ascii="Trebuchet MS" w:eastAsia="Trebuchet MS" w:hAnsi="Trebuchet MS" w:cs="Trebuchet MS"/>
          <w:bCs/>
        </w:rPr>
      </w:pPr>
      <w:r>
        <w:rPr>
          <w:rFonts w:ascii="Trebuchet MS" w:eastAsia="Trebuchet MS" w:hAnsi="Trebuchet MS" w:cs="Trebuchet MS"/>
          <w:bCs/>
        </w:rPr>
        <w:t xml:space="preserve">Astfel, România îndeplinește </w:t>
      </w:r>
      <w:r w:rsidR="002D220C">
        <w:rPr>
          <w:rFonts w:ascii="Trebuchet MS" w:eastAsia="Trebuchet MS" w:hAnsi="Trebuchet MS" w:cs="Trebuchet MS"/>
          <w:bCs/>
        </w:rPr>
        <w:t>integral</w:t>
      </w:r>
      <w:r>
        <w:rPr>
          <w:rFonts w:ascii="Trebuchet MS" w:eastAsia="Trebuchet MS" w:hAnsi="Trebuchet MS" w:cs="Trebuchet MS"/>
          <w:bCs/>
        </w:rPr>
        <w:t xml:space="preserve"> </w:t>
      </w:r>
      <w:r w:rsidR="009C6FF9">
        <w:rPr>
          <w:rFonts w:ascii="Trebuchet MS" w:eastAsia="Trebuchet MS" w:hAnsi="Trebuchet MS" w:cs="Trebuchet MS"/>
          <w:bCs/>
        </w:rPr>
        <w:t>solicităril</w:t>
      </w:r>
      <w:r w:rsidR="002D220C">
        <w:rPr>
          <w:rFonts w:ascii="Trebuchet MS" w:eastAsia="Trebuchet MS" w:hAnsi="Trebuchet MS" w:cs="Trebuchet MS"/>
          <w:bCs/>
        </w:rPr>
        <w:t>e</w:t>
      </w:r>
      <w:r>
        <w:rPr>
          <w:rFonts w:ascii="Trebuchet MS" w:eastAsia="Trebuchet MS" w:hAnsi="Trebuchet MS" w:cs="Trebuchet MS"/>
          <w:bCs/>
        </w:rPr>
        <w:t xml:space="preserve"> Comisiei Europene cuprinse în </w:t>
      </w:r>
      <w:r w:rsidR="009C6FF9">
        <w:rPr>
          <w:rFonts w:ascii="Trebuchet MS" w:eastAsia="Trebuchet MS" w:hAnsi="Trebuchet MS" w:cs="Trebuchet MS"/>
          <w:bCs/>
        </w:rPr>
        <w:t xml:space="preserve">avizul motivat </w:t>
      </w:r>
      <w:r w:rsidR="00BC49B7">
        <w:rPr>
          <w:rFonts w:ascii="Trebuchet MS" w:eastAsia="Trebuchet MS" w:hAnsi="Trebuchet MS" w:cs="Trebuchet MS"/>
          <w:bCs/>
        </w:rPr>
        <w:t xml:space="preserve">anunțat </w:t>
      </w:r>
      <w:r w:rsidR="007F608E">
        <w:rPr>
          <w:rFonts w:ascii="Trebuchet MS" w:eastAsia="Trebuchet MS" w:hAnsi="Trebuchet MS" w:cs="Trebuchet MS"/>
          <w:bCs/>
        </w:rPr>
        <w:t xml:space="preserve">joi, 29 septembrie 2022, </w:t>
      </w:r>
      <w:r w:rsidR="00B0606C">
        <w:rPr>
          <w:rFonts w:ascii="Trebuchet MS" w:eastAsia="Trebuchet MS" w:hAnsi="Trebuchet MS" w:cs="Trebuchet MS"/>
          <w:bCs/>
        </w:rPr>
        <w:t>de reprezentanții C</w:t>
      </w:r>
      <w:r w:rsidR="001458D0">
        <w:rPr>
          <w:rFonts w:ascii="Trebuchet MS" w:eastAsia="Trebuchet MS" w:hAnsi="Trebuchet MS" w:cs="Trebuchet MS"/>
          <w:bCs/>
        </w:rPr>
        <w:t>.</w:t>
      </w:r>
      <w:r w:rsidR="00B0606C">
        <w:rPr>
          <w:rFonts w:ascii="Trebuchet MS" w:eastAsia="Trebuchet MS" w:hAnsi="Trebuchet MS" w:cs="Trebuchet MS"/>
          <w:bCs/>
        </w:rPr>
        <w:t>E</w:t>
      </w:r>
      <w:r w:rsidR="004D5CDF">
        <w:rPr>
          <w:rFonts w:ascii="Trebuchet MS" w:eastAsia="Trebuchet MS" w:hAnsi="Trebuchet MS" w:cs="Trebuchet MS"/>
          <w:bCs/>
        </w:rPr>
        <w:t xml:space="preserve">, </w:t>
      </w:r>
      <w:r w:rsidR="000C5FD2">
        <w:rPr>
          <w:rFonts w:ascii="Trebuchet MS" w:eastAsia="Trebuchet MS" w:hAnsi="Trebuchet MS" w:cs="Trebuchet MS"/>
          <w:bCs/>
        </w:rPr>
        <w:t>privind actualizarea hărților de hazard și de risc la inundații</w:t>
      </w:r>
      <w:r w:rsidR="00135887">
        <w:rPr>
          <w:rFonts w:ascii="Trebuchet MS" w:eastAsia="Trebuchet MS" w:hAnsi="Trebuchet MS" w:cs="Trebuchet MS"/>
          <w:bCs/>
        </w:rPr>
        <w:t>, în conformitate cu</w:t>
      </w:r>
      <w:r w:rsidR="00F52A13">
        <w:rPr>
          <w:rFonts w:ascii="Trebuchet MS" w:eastAsia="Trebuchet MS" w:hAnsi="Trebuchet MS" w:cs="Trebuchet MS"/>
          <w:bCs/>
        </w:rPr>
        <w:t xml:space="preserve"> directivele europene</w:t>
      </w:r>
      <w:r w:rsidR="00FA0AA9">
        <w:rPr>
          <w:rFonts w:ascii="Trebuchet MS" w:eastAsia="Trebuchet MS" w:hAnsi="Trebuchet MS" w:cs="Trebuchet MS"/>
          <w:bCs/>
        </w:rPr>
        <w:t>. După finalizarea procesului informatic, este de așteptat ca procedura de infringement să fie clasată</w:t>
      </w:r>
      <w:r w:rsidR="00F52A13">
        <w:rPr>
          <w:rFonts w:ascii="Trebuchet MS" w:eastAsia="Trebuchet MS" w:hAnsi="Trebuchet MS" w:cs="Trebuchet MS"/>
          <w:bCs/>
        </w:rPr>
        <w:t xml:space="preserve"> de autoritățile de la Bruxelles.</w:t>
      </w:r>
    </w:p>
    <w:p w14:paraId="6D7EB5F7" w14:textId="3927AB15" w:rsidR="00F964BD" w:rsidRPr="005744C8" w:rsidRDefault="00F964BD" w:rsidP="00F964BD">
      <w:pPr>
        <w:spacing w:line="360" w:lineRule="auto"/>
        <w:jc w:val="both"/>
        <w:rPr>
          <w:rFonts w:ascii="Trebuchet MS" w:eastAsia="Trebuchet MS" w:hAnsi="Trebuchet MS" w:cs="Trebuchet MS"/>
          <w:bCs/>
        </w:rPr>
      </w:pPr>
      <w:r w:rsidRPr="00F964BD">
        <w:rPr>
          <w:rFonts w:ascii="Trebuchet MS" w:eastAsia="Trebuchet MS" w:hAnsi="Trebuchet MS" w:cs="Trebuchet MS"/>
          <w:bCs/>
        </w:rPr>
        <w:t xml:space="preserve">Menționăm că aceste materiale au parcurs etapele de consultare a publicului iar pe parcursul acestei săptămâni, toate cele </w:t>
      </w:r>
      <w:r w:rsidR="00BA1745">
        <w:rPr>
          <w:rFonts w:ascii="Trebuchet MS" w:eastAsia="Trebuchet MS" w:hAnsi="Trebuchet MS" w:cs="Trebuchet MS"/>
          <w:bCs/>
        </w:rPr>
        <w:t>11</w:t>
      </w:r>
      <w:r w:rsidR="00BA1745" w:rsidRPr="00F964BD">
        <w:rPr>
          <w:rFonts w:ascii="Trebuchet MS" w:eastAsia="Trebuchet MS" w:hAnsi="Trebuchet MS" w:cs="Trebuchet MS"/>
          <w:bCs/>
        </w:rPr>
        <w:t xml:space="preserve"> </w:t>
      </w:r>
      <w:r w:rsidRPr="00F964BD">
        <w:rPr>
          <w:rFonts w:ascii="Trebuchet MS" w:eastAsia="Trebuchet MS" w:hAnsi="Trebuchet MS" w:cs="Trebuchet MS"/>
          <w:bCs/>
        </w:rPr>
        <w:t xml:space="preserve">Administrații Bazinale de Apă (A.B.A) din țară au realizat ședințe extraordinare ale Comitetelor de Bazin în cadrul cărora au fost avizate Hărțile de Hazard și Risc la Inundații (HHRI) reactualizate. </w:t>
      </w:r>
      <w:r w:rsidRPr="005744C8">
        <w:rPr>
          <w:rFonts w:ascii="Trebuchet MS" w:eastAsia="Trebuchet MS" w:hAnsi="Trebuchet MS" w:cs="Trebuchet MS"/>
          <w:bCs/>
        </w:rPr>
        <w:t xml:space="preserve">În cadrul elaborării HHRI reactualizate au fost delimitate zonele </w:t>
      </w:r>
      <w:r w:rsidR="00BA1745">
        <w:rPr>
          <w:rFonts w:ascii="Trebuchet MS" w:eastAsia="Trebuchet MS" w:hAnsi="Trebuchet MS" w:cs="Trebuchet MS"/>
          <w:bCs/>
        </w:rPr>
        <w:t xml:space="preserve">de inundabilitate pentru trei probabilități de depășire a debitelor maxime, inclusiv luând în </w:t>
      </w:r>
      <w:r w:rsidR="00BA1745">
        <w:rPr>
          <w:rFonts w:ascii="Trebuchet MS" w:eastAsia="Trebuchet MS" w:hAnsi="Trebuchet MS" w:cs="Trebuchet MS"/>
          <w:bCs/>
        </w:rPr>
        <w:lastRenderedPageBreak/>
        <w:t>considerare efectul schimbărilor climatice și riscul potențial asociat acestora.</w:t>
      </w:r>
      <w:r w:rsidRPr="005744C8">
        <w:rPr>
          <w:rFonts w:ascii="Trebuchet MS" w:eastAsia="Trebuchet MS" w:hAnsi="Trebuchet MS" w:cs="Trebuchet MS"/>
          <w:bCs/>
        </w:rPr>
        <w:t xml:space="preserve"> </w:t>
      </w:r>
      <w:r w:rsidR="00BA1745">
        <w:rPr>
          <w:rFonts w:ascii="Trebuchet MS" w:eastAsia="Trebuchet MS" w:hAnsi="Trebuchet MS" w:cs="Trebuchet MS"/>
          <w:bCs/>
        </w:rPr>
        <w:t>H</w:t>
      </w:r>
      <w:r w:rsidRPr="005744C8">
        <w:rPr>
          <w:rFonts w:ascii="Trebuchet MS" w:eastAsia="Trebuchet MS" w:hAnsi="Trebuchet MS" w:cs="Trebuchet MS"/>
          <w:bCs/>
        </w:rPr>
        <w:t xml:space="preserve">ărțile </w:t>
      </w:r>
      <w:r w:rsidR="00BA1745">
        <w:rPr>
          <w:rFonts w:ascii="Trebuchet MS" w:eastAsia="Trebuchet MS" w:hAnsi="Trebuchet MS" w:cs="Trebuchet MS"/>
          <w:bCs/>
        </w:rPr>
        <w:t>sunt</w:t>
      </w:r>
      <w:r w:rsidR="00BA1745" w:rsidRPr="005744C8">
        <w:rPr>
          <w:rFonts w:ascii="Trebuchet MS" w:eastAsia="Trebuchet MS" w:hAnsi="Trebuchet MS" w:cs="Trebuchet MS"/>
          <w:bCs/>
        </w:rPr>
        <w:t xml:space="preserve"> </w:t>
      </w:r>
      <w:r w:rsidRPr="005744C8">
        <w:rPr>
          <w:rFonts w:ascii="Trebuchet MS" w:eastAsia="Trebuchet MS" w:hAnsi="Trebuchet MS" w:cs="Trebuchet MS"/>
          <w:bCs/>
        </w:rPr>
        <w:t xml:space="preserve">un instrument esențial care oferă suport în luarea deciziilor privind managementul riscului la inundații. </w:t>
      </w:r>
    </w:p>
    <w:p w14:paraId="05764A53" w14:textId="41DB25A9" w:rsidR="00161EBC" w:rsidRPr="005744C8" w:rsidRDefault="00161EBC" w:rsidP="00161EBC">
      <w:pPr>
        <w:spacing w:line="360" w:lineRule="auto"/>
        <w:jc w:val="both"/>
        <w:rPr>
          <w:rFonts w:ascii="Trebuchet MS" w:eastAsia="Trebuchet MS" w:hAnsi="Trebuchet MS" w:cs="Trebuchet MS"/>
          <w:bCs/>
        </w:rPr>
      </w:pPr>
      <w:r w:rsidRPr="005744C8">
        <w:rPr>
          <w:rFonts w:ascii="Trebuchet MS" w:eastAsia="Trebuchet MS" w:hAnsi="Trebuchet MS" w:cs="Trebuchet MS"/>
          <w:bCs/>
        </w:rPr>
        <w:t xml:space="preserve">În cadrul Comitetelor de Bazin </w:t>
      </w:r>
      <w:r w:rsidR="005744C8" w:rsidRPr="005744C8">
        <w:rPr>
          <w:rFonts w:ascii="Trebuchet MS" w:eastAsia="Trebuchet MS" w:hAnsi="Trebuchet MS" w:cs="Trebuchet MS"/>
          <w:bCs/>
        </w:rPr>
        <w:t xml:space="preserve">s-a prezentat </w:t>
      </w:r>
      <w:r w:rsidRPr="005744C8">
        <w:rPr>
          <w:rFonts w:ascii="Trebuchet MS" w:eastAsia="Trebuchet MS" w:hAnsi="Trebuchet MS" w:cs="Trebuchet MS"/>
          <w:bCs/>
        </w:rPr>
        <w:t>întregul proces de realizare, dar și modalitatea de accesare și de consultare a hărților reactualizate, astfel încât autoritățile publice și cetățenii interesați să le poată vizualiza și utiliza într-un mod cât mai eficient.</w:t>
      </w:r>
    </w:p>
    <w:p w14:paraId="52733739" w14:textId="68C6B199" w:rsidR="005744C8" w:rsidRDefault="005744C8" w:rsidP="00161EBC">
      <w:pPr>
        <w:spacing w:line="360" w:lineRule="auto"/>
        <w:jc w:val="both"/>
        <w:rPr>
          <w:rFonts w:ascii="Trebuchet MS" w:eastAsia="Trebuchet MS" w:hAnsi="Trebuchet MS" w:cs="Trebuchet MS"/>
          <w:bCs/>
        </w:rPr>
      </w:pPr>
      <w:r w:rsidRPr="005744C8">
        <w:rPr>
          <w:rFonts w:ascii="Trebuchet MS" w:eastAsia="Trebuchet MS" w:hAnsi="Trebuchet MS" w:cs="Trebuchet MS"/>
          <w:bCs/>
        </w:rPr>
        <w:t>După avizarea</w:t>
      </w:r>
      <w:r w:rsidR="00636E4E">
        <w:rPr>
          <w:rFonts w:ascii="Trebuchet MS" w:eastAsia="Trebuchet MS" w:hAnsi="Trebuchet MS" w:cs="Trebuchet MS"/>
          <w:bCs/>
        </w:rPr>
        <w:t xml:space="preserve"> </w:t>
      </w:r>
      <w:r w:rsidR="006F347C">
        <w:rPr>
          <w:rFonts w:ascii="Trebuchet MS" w:eastAsia="Trebuchet MS" w:hAnsi="Trebuchet MS" w:cs="Trebuchet MS"/>
          <w:bCs/>
        </w:rPr>
        <w:t>ș</w:t>
      </w:r>
      <w:r w:rsidR="00636E4E">
        <w:rPr>
          <w:rFonts w:ascii="Trebuchet MS" w:eastAsia="Trebuchet MS" w:hAnsi="Trebuchet MS" w:cs="Trebuchet MS"/>
          <w:bCs/>
        </w:rPr>
        <w:t>i primirea confirm</w:t>
      </w:r>
      <w:r w:rsidR="006F347C">
        <w:rPr>
          <w:rFonts w:ascii="Trebuchet MS" w:eastAsia="Trebuchet MS" w:hAnsi="Trebuchet MS" w:cs="Trebuchet MS"/>
          <w:bCs/>
        </w:rPr>
        <w:t>ă</w:t>
      </w:r>
      <w:r w:rsidR="00636E4E">
        <w:rPr>
          <w:rFonts w:ascii="Trebuchet MS" w:eastAsia="Trebuchet MS" w:hAnsi="Trebuchet MS" w:cs="Trebuchet MS"/>
          <w:bCs/>
        </w:rPr>
        <w:t>rii raport</w:t>
      </w:r>
      <w:r w:rsidR="0062385E">
        <w:rPr>
          <w:rFonts w:ascii="Trebuchet MS" w:eastAsia="Trebuchet MS" w:hAnsi="Trebuchet MS" w:cs="Trebuchet MS"/>
          <w:bCs/>
        </w:rPr>
        <w:t>ă</w:t>
      </w:r>
      <w:r w:rsidR="00636E4E">
        <w:rPr>
          <w:rFonts w:ascii="Trebuchet MS" w:eastAsia="Trebuchet MS" w:hAnsi="Trebuchet MS" w:cs="Trebuchet MS"/>
          <w:bCs/>
        </w:rPr>
        <w:t>rii</w:t>
      </w:r>
      <w:r w:rsidRPr="005744C8">
        <w:rPr>
          <w:rFonts w:ascii="Trebuchet MS" w:eastAsia="Trebuchet MS" w:hAnsi="Trebuchet MS" w:cs="Trebuchet MS"/>
          <w:bCs/>
        </w:rPr>
        <w:t xml:space="preserve"> </w:t>
      </w:r>
      <w:r w:rsidR="00636E4E" w:rsidRPr="00636E4E">
        <w:rPr>
          <w:rFonts w:ascii="Trebuchet MS" w:eastAsia="Trebuchet MS" w:hAnsi="Trebuchet MS" w:cs="Trebuchet MS"/>
          <w:bCs/>
        </w:rPr>
        <w:t>Hărților de Hazard și Risc la Inundații (HHRI) reactualizate</w:t>
      </w:r>
      <w:r w:rsidR="006F347C">
        <w:rPr>
          <w:rFonts w:ascii="Trebuchet MS" w:eastAsia="Trebuchet MS" w:hAnsi="Trebuchet MS" w:cs="Trebuchet MS"/>
          <w:bCs/>
        </w:rPr>
        <w:t>,</w:t>
      </w:r>
      <w:r w:rsidR="00636E4E" w:rsidRPr="00636E4E">
        <w:rPr>
          <w:rFonts w:ascii="Trebuchet MS" w:eastAsia="Trebuchet MS" w:hAnsi="Trebuchet MS" w:cs="Trebuchet MS"/>
          <w:bCs/>
        </w:rPr>
        <w:t xml:space="preserve"> </w:t>
      </w:r>
      <w:r w:rsidRPr="005744C8">
        <w:rPr>
          <w:rFonts w:ascii="Trebuchet MS" w:eastAsia="Trebuchet MS" w:hAnsi="Trebuchet MS" w:cs="Trebuchet MS"/>
          <w:bCs/>
        </w:rPr>
        <w:t>din partea</w:t>
      </w:r>
      <w:r w:rsidR="00636E4E">
        <w:rPr>
          <w:rFonts w:ascii="Trebuchet MS" w:eastAsia="Trebuchet MS" w:hAnsi="Trebuchet MS" w:cs="Trebuchet MS"/>
          <w:bCs/>
        </w:rPr>
        <w:t xml:space="preserve"> platformei EIONET a</w:t>
      </w:r>
      <w:r w:rsidRPr="005744C8">
        <w:rPr>
          <w:rFonts w:ascii="Trebuchet MS" w:eastAsia="Trebuchet MS" w:hAnsi="Trebuchet MS" w:cs="Trebuchet MS"/>
          <w:bCs/>
        </w:rPr>
        <w:t xml:space="preserve"> C</w:t>
      </w:r>
      <w:r w:rsidR="00636E4E">
        <w:rPr>
          <w:rFonts w:ascii="Trebuchet MS" w:eastAsia="Trebuchet MS" w:hAnsi="Trebuchet MS" w:cs="Trebuchet MS"/>
          <w:bCs/>
        </w:rPr>
        <w:t xml:space="preserve">omisiei </w:t>
      </w:r>
      <w:r w:rsidRPr="005744C8">
        <w:rPr>
          <w:rFonts w:ascii="Trebuchet MS" w:eastAsia="Trebuchet MS" w:hAnsi="Trebuchet MS" w:cs="Trebuchet MS"/>
          <w:bCs/>
        </w:rPr>
        <w:t>E</w:t>
      </w:r>
      <w:r w:rsidR="00636E4E">
        <w:rPr>
          <w:rFonts w:ascii="Trebuchet MS" w:eastAsia="Trebuchet MS" w:hAnsi="Trebuchet MS" w:cs="Trebuchet MS"/>
          <w:bCs/>
        </w:rPr>
        <w:t>uropene</w:t>
      </w:r>
      <w:r w:rsidR="006F347C">
        <w:rPr>
          <w:rFonts w:ascii="Trebuchet MS" w:eastAsia="Trebuchet MS" w:hAnsi="Trebuchet MS" w:cs="Trebuchet MS"/>
          <w:bCs/>
        </w:rPr>
        <w:t>,</w:t>
      </w:r>
      <w:r w:rsidRPr="005744C8">
        <w:rPr>
          <w:rFonts w:ascii="Trebuchet MS" w:eastAsia="Trebuchet MS" w:hAnsi="Trebuchet MS" w:cs="Trebuchet MS"/>
          <w:bCs/>
        </w:rPr>
        <w:t xml:space="preserve"> acestea vor </w:t>
      </w:r>
      <w:r w:rsidR="00636E4E">
        <w:rPr>
          <w:rFonts w:ascii="Trebuchet MS" w:eastAsia="Trebuchet MS" w:hAnsi="Trebuchet MS" w:cs="Trebuchet MS"/>
          <w:bCs/>
        </w:rPr>
        <w:t>fi puse la dispozi</w:t>
      </w:r>
      <w:r w:rsidR="0062385E">
        <w:rPr>
          <w:rFonts w:ascii="Trebuchet MS" w:eastAsia="Trebuchet MS" w:hAnsi="Trebuchet MS" w:cs="Trebuchet MS"/>
          <w:bCs/>
        </w:rPr>
        <w:t>ț</w:t>
      </w:r>
      <w:r w:rsidR="00636E4E">
        <w:rPr>
          <w:rFonts w:ascii="Trebuchet MS" w:eastAsia="Trebuchet MS" w:hAnsi="Trebuchet MS" w:cs="Trebuchet MS"/>
          <w:bCs/>
        </w:rPr>
        <w:t xml:space="preserve">ia publicului larg </w:t>
      </w:r>
      <w:r w:rsidR="0062385E">
        <w:rPr>
          <w:rFonts w:ascii="Trebuchet MS" w:eastAsia="Trebuchet MS" w:hAnsi="Trebuchet MS" w:cs="Trebuchet MS"/>
          <w:bCs/>
        </w:rPr>
        <w:t>î</w:t>
      </w:r>
      <w:r w:rsidR="00636E4E">
        <w:rPr>
          <w:rFonts w:ascii="Trebuchet MS" w:eastAsia="Trebuchet MS" w:hAnsi="Trebuchet MS" w:cs="Trebuchet MS"/>
          <w:bCs/>
        </w:rPr>
        <w:t>n platforma de vizualizare a MMAP/ANAR</w:t>
      </w:r>
      <w:r w:rsidR="006F347C">
        <w:rPr>
          <w:rFonts w:ascii="Trebuchet MS" w:eastAsia="Trebuchet MS" w:hAnsi="Trebuchet MS" w:cs="Trebuchet MS"/>
          <w:bCs/>
        </w:rPr>
        <w:t xml:space="preserve"> (</w:t>
      </w:r>
      <w:hyperlink r:id="rId9" w:history="1">
        <w:r w:rsidR="006F347C" w:rsidRPr="00C83FEB">
          <w:rPr>
            <w:rStyle w:val="Hyperlink"/>
            <w:rFonts w:ascii="Trebuchet MS" w:eastAsia="Trebuchet MS" w:hAnsi="Trebuchet MS" w:cs="Trebuchet MS"/>
            <w:bCs/>
          </w:rPr>
          <w:t>www.inundații.ro</w:t>
        </w:r>
      </w:hyperlink>
      <w:r w:rsidR="006F347C">
        <w:rPr>
          <w:rFonts w:ascii="Trebuchet MS" w:eastAsia="Trebuchet MS" w:hAnsi="Trebuchet MS" w:cs="Trebuchet MS"/>
          <w:bCs/>
        </w:rPr>
        <w:t xml:space="preserve">). </w:t>
      </w:r>
    </w:p>
    <w:p w14:paraId="5918C39B" w14:textId="38D1BB4E" w:rsidR="005744C8" w:rsidRPr="005744C8" w:rsidRDefault="005744C8" w:rsidP="00161EBC">
      <w:pPr>
        <w:spacing w:line="360" w:lineRule="auto"/>
        <w:jc w:val="both"/>
        <w:rPr>
          <w:rFonts w:ascii="Trebuchet MS" w:eastAsia="Trebuchet MS" w:hAnsi="Trebuchet MS" w:cs="Trebuchet MS"/>
          <w:bCs/>
        </w:rPr>
      </w:pPr>
      <w:r w:rsidRPr="005744C8">
        <w:rPr>
          <w:rFonts w:ascii="Trebuchet MS" w:eastAsia="Trebuchet MS" w:hAnsi="Trebuchet MS" w:cs="Trebuchet MS"/>
          <w:bCs/>
        </w:rPr>
        <w:t>După finalizare, Planurile de Management al Riscului la Inundații</w:t>
      </w:r>
      <w:r w:rsidR="00BA1745">
        <w:rPr>
          <w:rFonts w:ascii="Trebuchet MS" w:eastAsia="Trebuchet MS" w:hAnsi="Trebuchet MS" w:cs="Trebuchet MS"/>
          <w:bCs/>
        </w:rPr>
        <w:t>,</w:t>
      </w:r>
      <w:r w:rsidRPr="005744C8">
        <w:rPr>
          <w:rFonts w:ascii="Trebuchet MS" w:eastAsia="Trebuchet MS" w:hAnsi="Trebuchet MS" w:cs="Trebuchet MS"/>
          <w:bCs/>
        </w:rPr>
        <w:t xml:space="preserve"> împreună cu Planurile de Management al Bazinelor Hidrografice</w:t>
      </w:r>
      <w:r w:rsidR="00BA1745">
        <w:rPr>
          <w:rFonts w:ascii="Trebuchet MS" w:eastAsia="Trebuchet MS" w:hAnsi="Trebuchet MS" w:cs="Trebuchet MS"/>
          <w:bCs/>
        </w:rPr>
        <w:t>,</w:t>
      </w:r>
      <w:r w:rsidRPr="005744C8">
        <w:rPr>
          <w:rFonts w:ascii="Trebuchet MS" w:eastAsia="Trebuchet MS" w:hAnsi="Trebuchet MS" w:cs="Trebuchet MS"/>
          <w:bCs/>
        </w:rPr>
        <w:t xml:space="preserve"> realizate conform Directivei Inundații, respectiv Directivei Cadru Apă, vor oferi o viziune integrativă a managementului resurselor de apă. Aceasta va fi transpusă și la nivelul districtului hidrografic al bazinului Dunării, în cadrul Planului de Management al Districtului Hidrografic al Dunării.</w:t>
      </w:r>
    </w:p>
    <w:p w14:paraId="67B9B986" w14:textId="69B8A396" w:rsidR="00161EBC" w:rsidRPr="005744C8" w:rsidRDefault="00161EBC" w:rsidP="00161EBC">
      <w:pPr>
        <w:spacing w:line="360" w:lineRule="auto"/>
        <w:jc w:val="both"/>
        <w:rPr>
          <w:rFonts w:ascii="Trebuchet MS" w:eastAsia="Trebuchet MS" w:hAnsi="Trebuchet MS" w:cs="Trebuchet MS"/>
          <w:bCs/>
        </w:rPr>
      </w:pPr>
      <w:r w:rsidRPr="005744C8">
        <w:rPr>
          <w:rFonts w:ascii="Trebuchet MS" w:eastAsia="Trebuchet MS" w:hAnsi="Trebuchet MS" w:cs="Trebuchet MS"/>
          <w:bCs/>
        </w:rPr>
        <w:t>Proiectul „Întărirea capacității autorității publice centrale în domeniul apelor în scopul implementării etapelor a 2-a și a 3-a ale Ciclului II al Directivei Inundații - RO-FLOODS ” este derulat de Ministerul Mediului - România împreună cu Administrația Națională Apele Române și cu sprijinul World Bank Romania.</w:t>
      </w:r>
      <w:r w:rsidR="007D3583" w:rsidRPr="007D3583">
        <w:t xml:space="preserve"> </w:t>
      </w:r>
      <w:r w:rsidR="007D3583" w:rsidRPr="007D3583">
        <w:rPr>
          <w:rFonts w:ascii="Trebuchet MS" w:eastAsia="Trebuchet MS" w:hAnsi="Trebuchet MS" w:cs="Trebuchet MS"/>
          <w:bCs/>
        </w:rPr>
        <w:t>Proiectul este cofinanțat din Fondul Social European, prin Programul Operațional Capacitate Administrativă 2014-2020, obiectiv specific Dezvoltarea și introducerea de sisteme și standarde comune în administrația publică ce optimizează procesele decizionale orientate către cetățeni și mediul de afaceri în concordanță cu SCAP.</w:t>
      </w:r>
    </w:p>
    <w:p w14:paraId="5B0F35BA" w14:textId="23F4E9B5" w:rsidR="00161EBC" w:rsidRPr="005744C8" w:rsidRDefault="00161EBC" w:rsidP="00161EBC">
      <w:pPr>
        <w:spacing w:line="360" w:lineRule="auto"/>
        <w:jc w:val="both"/>
        <w:rPr>
          <w:rFonts w:ascii="Trebuchet MS" w:eastAsia="Trebuchet MS" w:hAnsi="Trebuchet MS" w:cs="Trebuchet MS"/>
          <w:bCs/>
        </w:rPr>
      </w:pPr>
      <w:r w:rsidRPr="005744C8">
        <w:rPr>
          <w:rFonts w:ascii="Trebuchet MS" w:eastAsia="Trebuchet MS" w:hAnsi="Trebuchet MS" w:cs="Trebuchet MS"/>
          <w:bCs/>
        </w:rPr>
        <w:t xml:space="preserve">RO-FLOODS are ca scop reactualizarea </w:t>
      </w:r>
      <w:r w:rsidR="00155F3A">
        <w:rPr>
          <w:rFonts w:ascii="Trebuchet MS" w:eastAsia="Trebuchet MS" w:hAnsi="Trebuchet MS" w:cs="Trebuchet MS"/>
          <w:bCs/>
        </w:rPr>
        <w:t xml:space="preserve">hărților de hazard și risc la inundații, precum și a </w:t>
      </w:r>
      <w:r w:rsidRPr="005744C8">
        <w:rPr>
          <w:rFonts w:ascii="Trebuchet MS" w:eastAsia="Trebuchet MS" w:hAnsi="Trebuchet MS" w:cs="Trebuchet MS"/>
          <w:bCs/>
        </w:rPr>
        <w:t xml:space="preserve">Planurilor de Management al Riscului la Inundații pentru perioada 2022-2027 de la nivelul tuturor celor 11 Administrații Bazinale de Apă. </w:t>
      </w:r>
      <w:r w:rsidR="00155F3A">
        <w:rPr>
          <w:rFonts w:ascii="Trebuchet MS" w:eastAsia="Trebuchet MS" w:hAnsi="Trebuchet MS" w:cs="Trebuchet MS"/>
          <w:bCs/>
        </w:rPr>
        <w:t xml:space="preserve">Menționăm că </w:t>
      </w:r>
      <w:r w:rsidR="00017795">
        <w:rPr>
          <w:rFonts w:ascii="Trebuchet MS" w:eastAsia="Trebuchet MS" w:hAnsi="Trebuchet MS" w:cs="Trebuchet MS"/>
          <w:bCs/>
        </w:rPr>
        <w:t xml:space="preserve">versiunile preliminare ale </w:t>
      </w:r>
      <w:r w:rsidR="00155F3A" w:rsidRPr="005744C8">
        <w:rPr>
          <w:rFonts w:ascii="Trebuchet MS" w:eastAsia="Trebuchet MS" w:hAnsi="Trebuchet MS" w:cs="Trebuchet MS"/>
          <w:bCs/>
        </w:rPr>
        <w:t>Planuril</w:t>
      </w:r>
      <w:r w:rsidR="00017795">
        <w:rPr>
          <w:rFonts w:ascii="Trebuchet MS" w:eastAsia="Trebuchet MS" w:hAnsi="Trebuchet MS" w:cs="Trebuchet MS"/>
          <w:bCs/>
        </w:rPr>
        <w:t>or</w:t>
      </w:r>
      <w:r w:rsidR="00155F3A" w:rsidRPr="005744C8">
        <w:rPr>
          <w:rFonts w:ascii="Trebuchet MS" w:eastAsia="Trebuchet MS" w:hAnsi="Trebuchet MS" w:cs="Trebuchet MS"/>
          <w:bCs/>
        </w:rPr>
        <w:t xml:space="preserve"> de Management al Riscului la Inundații</w:t>
      </w:r>
      <w:r w:rsidR="00155F3A">
        <w:rPr>
          <w:rFonts w:ascii="Trebuchet MS" w:eastAsia="Trebuchet MS" w:hAnsi="Trebuchet MS" w:cs="Trebuchet MS"/>
          <w:bCs/>
        </w:rPr>
        <w:t xml:space="preserve"> vor fi prezentate în săptămânile următoare în consultare publică în vederea raportării </w:t>
      </w:r>
      <w:r w:rsidR="00017795">
        <w:rPr>
          <w:rFonts w:ascii="Trebuchet MS" w:eastAsia="Trebuchet MS" w:hAnsi="Trebuchet MS" w:cs="Trebuchet MS"/>
          <w:bCs/>
        </w:rPr>
        <w:t>la Uniunea Europeană până la sfârșitul lunii martie 2023</w:t>
      </w:r>
      <w:r w:rsidR="00155F3A">
        <w:rPr>
          <w:rFonts w:ascii="Trebuchet MS" w:eastAsia="Trebuchet MS" w:hAnsi="Trebuchet MS" w:cs="Trebuchet MS"/>
          <w:bCs/>
        </w:rPr>
        <w:t>.</w:t>
      </w:r>
    </w:p>
    <w:p w14:paraId="6BD4D654" w14:textId="5F2F4D73" w:rsidR="007D3583" w:rsidRDefault="007D3583">
      <w:pPr>
        <w:spacing w:line="240" w:lineRule="auto"/>
        <w:jc w:val="both"/>
        <w:rPr>
          <w:rFonts w:ascii="Trebuchet MS" w:eastAsia="Trebuchet MS" w:hAnsi="Trebuchet MS" w:cs="Trebuchet MS"/>
          <w:sz w:val="15"/>
          <w:szCs w:val="15"/>
        </w:rPr>
      </w:pPr>
    </w:p>
    <w:p w14:paraId="34BB1536" w14:textId="082989B1" w:rsidR="007D3583" w:rsidRDefault="007D3583">
      <w:pPr>
        <w:spacing w:line="240" w:lineRule="auto"/>
        <w:jc w:val="both"/>
        <w:rPr>
          <w:rFonts w:ascii="Trebuchet MS" w:eastAsia="Trebuchet MS" w:hAnsi="Trebuchet MS" w:cs="Trebuchet MS"/>
          <w:sz w:val="15"/>
          <w:szCs w:val="15"/>
        </w:rPr>
      </w:pPr>
    </w:p>
    <w:p w14:paraId="10A694E6" w14:textId="77777777" w:rsidR="00613120" w:rsidRPr="00613120" w:rsidRDefault="00613120" w:rsidP="00613120">
      <w:pPr>
        <w:spacing w:line="240" w:lineRule="auto"/>
        <w:jc w:val="both"/>
        <w:rPr>
          <w:rFonts w:ascii="Trebuchet MS" w:eastAsia="Trebuchet MS" w:hAnsi="Trebuchet MS" w:cs="Trebuchet MS"/>
          <w:sz w:val="15"/>
          <w:szCs w:val="15"/>
        </w:rPr>
      </w:pPr>
      <w:r w:rsidRPr="00613120">
        <w:rPr>
          <w:rFonts w:ascii="Trebuchet MS" w:eastAsia="Trebuchet MS" w:hAnsi="Trebuchet MS" w:cs="Trebuchet MS"/>
          <w:sz w:val="15"/>
          <w:szCs w:val="15"/>
        </w:rPr>
        <w:t>Contact: Olimpia Negru, manager Proiect SIPOCA 734</w:t>
      </w:r>
    </w:p>
    <w:p w14:paraId="3C94134F" w14:textId="0A7E5A82" w:rsidR="007D3583" w:rsidRDefault="00613120" w:rsidP="00613120">
      <w:pPr>
        <w:spacing w:line="240" w:lineRule="auto"/>
        <w:jc w:val="both"/>
        <w:rPr>
          <w:rFonts w:ascii="Trebuchet MS" w:eastAsia="Trebuchet MS" w:hAnsi="Trebuchet MS" w:cs="Trebuchet MS"/>
          <w:sz w:val="15"/>
          <w:szCs w:val="15"/>
        </w:rPr>
      </w:pPr>
      <w:r w:rsidRPr="00613120">
        <w:rPr>
          <w:rFonts w:ascii="Trebuchet MS" w:eastAsia="Trebuchet MS" w:hAnsi="Trebuchet MS" w:cs="Trebuchet MS"/>
          <w:sz w:val="15"/>
          <w:szCs w:val="15"/>
        </w:rPr>
        <w:t xml:space="preserve">e-mail: </w:t>
      </w:r>
      <w:hyperlink r:id="rId10" w:history="1">
        <w:r w:rsidRPr="00EB612F">
          <w:rPr>
            <w:rStyle w:val="Hyperlink"/>
            <w:rFonts w:ascii="Trebuchet MS" w:eastAsia="Trebuchet MS" w:hAnsi="Trebuchet MS" w:cs="Trebuchet MS"/>
            <w:sz w:val="15"/>
            <w:szCs w:val="15"/>
          </w:rPr>
          <w:t>olimpia.negru@mmediu.ro</w:t>
        </w:r>
      </w:hyperlink>
      <w:r>
        <w:rPr>
          <w:rFonts w:ascii="Trebuchet MS" w:eastAsia="Trebuchet MS" w:hAnsi="Trebuchet MS" w:cs="Trebuchet MS"/>
          <w:sz w:val="15"/>
          <w:szCs w:val="15"/>
        </w:rPr>
        <w:t xml:space="preserve"> </w:t>
      </w:r>
    </w:p>
    <w:p w14:paraId="0F9EACCF" w14:textId="51F25592" w:rsidR="00C31F1E" w:rsidRDefault="008B1E26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555846BB" w14:textId="77777777" w:rsidR="00C31F1E" w:rsidRDefault="00C31F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369E635A" w14:textId="77777777" w:rsidR="00C31F1E" w:rsidRDefault="008B1E26">
      <w:pPr>
        <w:spacing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„Proiect cofinanțat din Fondul Social European, prin Programului Operațional Capacitate Administrativă 2014-2020”</w:t>
      </w:r>
    </w:p>
    <w:sectPr w:rsidR="00C31F1E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709" w:right="837" w:bottom="567" w:left="1418" w:header="531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055A" w14:textId="77777777" w:rsidR="00D251DF" w:rsidRDefault="00D251DF">
      <w:pPr>
        <w:spacing w:after="0" w:line="240" w:lineRule="auto"/>
      </w:pPr>
      <w:r>
        <w:separator/>
      </w:r>
    </w:p>
  </w:endnote>
  <w:endnote w:type="continuationSeparator" w:id="0">
    <w:p w14:paraId="4233A178" w14:textId="77777777" w:rsidR="00D251DF" w:rsidRDefault="00D2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3BFD" w14:textId="77777777" w:rsidR="00C31F1E" w:rsidRDefault="008B1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C910FDA" wp14:editId="2419FBDC">
          <wp:extent cx="6300470" cy="37719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0470" cy="377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F429D5" w14:textId="77777777" w:rsidR="00C31F1E" w:rsidRDefault="008B1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rebuchet MS" w:hAnsi="Trebuchet MS" w:cs="Trebuchet MS"/>
        <w:color w:val="005AA0"/>
      </w:rPr>
    </w:pPr>
    <w:r>
      <w:rPr>
        <w:rFonts w:ascii="Trebuchet MS" w:eastAsia="Trebuchet MS" w:hAnsi="Trebuchet MS" w:cs="Trebuchet MS"/>
        <w:color w:val="005AA0"/>
      </w:rPr>
      <w:t xml:space="preserve">www.poca.ro </w:t>
    </w:r>
  </w:p>
  <w:p w14:paraId="37F5B0D0" w14:textId="77777777" w:rsidR="00C31F1E" w:rsidRDefault="008B1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DFDC59" wp14:editId="0E15095E">
          <wp:extent cx="2296862" cy="57521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6862" cy="5752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D6E4" w14:textId="77777777" w:rsidR="00C31F1E" w:rsidRDefault="008B1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rebuchet MS" w:hAnsi="Trebuchet MS" w:cs="Trebuchet MS"/>
        <w:color w:val="005AA0"/>
      </w:rPr>
    </w:pPr>
    <w:r>
      <w:rPr>
        <w:noProof/>
        <w:color w:val="000000"/>
      </w:rPr>
      <w:drawing>
        <wp:inline distT="0" distB="0" distL="0" distR="0" wp14:anchorId="5815161E" wp14:editId="3BFE54DD">
          <wp:extent cx="6300470" cy="37719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0470" cy="377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5AA0"/>
      </w:rPr>
      <w:t xml:space="preserve"> </w:t>
    </w:r>
    <w:r>
      <w:rPr>
        <w:rFonts w:ascii="Trebuchet MS" w:eastAsia="Trebuchet MS" w:hAnsi="Trebuchet MS" w:cs="Trebuchet MS"/>
        <w:color w:val="005AA0"/>
      </w:rPr>
      <w:t>www.poca.ro</w:t>
    </w:r>
  </w:p>
  <w:p w14:paraId="6202AA9D" w14:textId="77777777" w:rsidR="00C31F1E" w:rsidRDefault="008B1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70A8591" wp14:editId="59B2D900">
          <wp:extent cx="2296862" cy="57521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6862" cy="5752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25F3" w14:textId="77777777" w:rsidR="00D251DF" w:rsidRDefault="00D251DF">
      <w:pPr>
        <w:spacing w:after="0" w:line="240" w:lineRule="auto"/>
      </w:pPr>
      <w:r>
        <w:separator/>
      </w:r>
    </w:p>
  </w:footnote>
  <w:footnote w:type="continuationSeparator" w:id="0">
    <w:p w14:paraId="1B1EC5E1" w14:textId="77777777" w:rsidR="00D251DF" w:rsidRDefault="00D2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6556" w14:textId="77777777" w:rsidR="00C31F1E" w:rsidRDefault="00C31F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F139" w14:textId="77777777" w:rsidR="00C31F1E" w:rsidRDefault="008B1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1E"/>
    <w:rsid w:val="00017795"/>
    <w:rsid w:val="000776DB"/>
    <w:rsid w:val="000C5FD2"/>
    <w:rsid w:val="000F3892"/>
    <w:rsid w:val="000F52A8"/>
    <w:rsid w:val="00135887"/>
    <w:rsid w:val="001434B3"/>
    <w:rsid w:val="001458D0"/>
    <w:rsid w:val="00155F3A"/>
    <w:rsid w:val="00161EBC"/>
    <w:rsid w:val="001C608B"/>
    <w:rsid w:val="00215CCA"/>
    <w:rsid w:val="00226B02"/>
    <w:rsid w:val="0027547E"/>
    <w:rsid w:val="0028360C"/>
    <w:rsid w:val="002D220C"/>
    <w:rsid w:val="00314FCB"/>
    <w:rsid w:val="00362B7E"/>
    <w:rsid w:val="00377341"/>
    <w:rsid w:val="003913B2"/>
    <w:rsid w:val="003F171F"/>
    <w:rsid w:val="004028FE"/>
    <w:rsid w:val="004D5CDF"/>
    <w:rsid w:val="005744C8"/>
    <w:rsid w:val="005B228D"/>
    <w:rsid w:val="005F5A54"/>
    <w:rsid w:val="00613120"/>
    <w:rsid w:val="0062385E"/>
    <w:rsid w:val="00636E4E"/>
    <w:rsid w:val="006F347C"/>
    <w:rsid w:val="00774A3D"/>
    <w:rsid w:val="007A01C6"/>
    <w:rsid w:val="007D3583"/>
    <w:rsid w:val="007F608E"/>
    <w:rsid w:val="00845DE3"/>
    <w:rsid w:val="008B1E26"/>
    <w:rsid w:val="00935B8D"/>
    <w:rsid w:val="0097537F"/>
    <w:rsid w:val="009C6FF9"/>
    <w:rsid w:val="009E2717"/>
    <w:rsid w:val="00A17547"/>
    <w:rsid w:val="00A22835"/>
    <w:rsid w:val="00AC171A"/>
    <w:rsid w:val="00B000BF"/>
    <w:rsid w:val="00B0606C"/>
    <w:rsid w:val="00B27BBC"/>
    <w:rsid w:val="00BA1745"/>
    <w:rsid w:val="00BB7BCC"/>
    <w:rsid w:val="00BC49B7"/>
    <w:rsid w:val="00C31F1E"/>
    <w:rsid w:val="00D251DF"/>
    <w:rsid w:val="00DE2551"/>
    <w:rsid w:val="00DF0B17"/>
    <w:rsid w:val="00E11F7B"/>
    <w:rsid w:val="00F52A13"/>
    <w:rsid w:val="00F964BD"/>
    <w:rsid w:val="00FA0AA9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21C6"/>
  <w15:docId w15:val="{EB2DFEBE-AA57-4C73-B997-CD2DF21C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44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4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limpia.negru@mmed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unda&#539;ii.r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62FF-F74C-474C-A016-4DA657A0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Marcusohn</dc:creator>
  <cp:lastModifiedBy>Simona Marcusohn</cp:lastModifiedBy>
  <cp:revision>2</cp:revision>
  <dcterms:created xsi:type="dcterms:W3CDTF">2022-09-30T14:41:00Z</dcterms:created>
  <dcterms:modified xsi:type="dcterms:W3CDTF">2022-09-30T14:41:00Z</dcterms:modified>
</cp:coreProperties>
</file>