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BE7A2" w14:textId="77777777" w:rsidR="00D42CB6" w:rsidRDefault="00D42CB6" w:rsidP="00D42CB6">
      <w:pPr>
        <w:tabs>
          <w:tab w:val="left" w:pos="360"/>
        </w:tabs>
        <w:spacing w:before="120" w:after="120" w:line="360" w:lineRule="auto"/>
        <w:ind w:left="4320" w:right="555"/>
        <w:jc w:val="right"/>
        <w:rPr>
          <w:rFonts w:eastAsia="Trebuchet MS" w:cs="Times New Roman"/>
          <w:b/>
          <w:bCs/>
          <w:color w:val="auto"/>
        </w:rPr>
      </w:pPr>
      <w:r w:rsidRPr="003461A4">
        <w:rPr>
          <w:rFonts w:eastAsia="Trebuchet MS" w:cs="Times New Roman"/>
          <w:b/>
          <w:bCs/>
          <w:color w:val="auto"/>
        </w:rPr>
        <w:t xml:space="preserve">       </w:t>
      </w:r>
      <w:r>
        <w:rPr>
          <w:rFonts w:eastAsia="Trebuchet MS" w:cs="Times New Roman"/>
          <w:b/>
          <w:bCs/>
          <w:color w:val="auto"/>
        </w:rPr>
        <w:t xml:space="preserve">   </w:t>
      </w:r>
    </w:p>
    <w:p w14:paraId="5011B233" w14:textId="5DA69AD9" w:rsidR="00D42CB6" w:rsidRDefault="00D42CB6" w:rsidP="00D42CB6">
      <w:pPr>
        <w:tabs>
          <w:tab w:val="left" w:pos="360"/>
        </w:tabs>
        <w:spacing w:before="120" w:after="120" w:line="360" w:lineRule="auto"/>
        <w:ind w:right="555"/>
        <w:rPr>
          <w:rFonts w:eastAsia="Trebuchet MS" w:cs="Times New Roman"/>
          <w:b/>
          <w:bCs/>
          <w:color w:val="auto"/>
        </w:rPr>
      </w:pPr>
      <w:r>
        <w:rPr>
          <w:rFonts w:eastAsia="Trebuchet MS" w:cs="Times New Roman"/>
          <w:b/>
          <w:bCs/>
          <w:color w:val="auto"/>
        </w:rPr>
        <w:tab/>
      </w:r>
      <w:r>
        <w:rPr>
          <w:rFonts w:eastAsia="Trebuchet MS" w:cs="Times New Roman"/>
          <w:b/>
          <w:bCs/>
          <w:color w:val="auto"/>
        </w:rPr>
        <w:tab/>
      </w:r>
      <w:r>
        <w:rPr>
          <w:rFonts w:eastAsia="Trebuchet MS" w:cs="Times New Roman"/>
          <w:b/>
          <w:bCs/>
          <w:color w:val="auto"/>
        </w:rPr>
        <w:tab/>
      </w:r>
      <w:r>
        <w:rPr>
          <w:rFonts w:eastAsia="Trebuchet MS" w:cs="Times New Roman"/>
          <w:b/>
          <w:bCs/>
          <w:color w:val="auto"/>
        </w:rPr>
        <w:tab/>
      </w:r>
      <w:r>
        <w:rPr>
          <w:rFonts w:eastAsia="Trebuchet MS" w:cs="Times New Roman"/>
          <w:b/>
          <w:bCs/>
          <w:color w:val="auto"/>
        </w:rPr>
        <w:tab/>
      </w:r>
      <w:r>
        <w:rPr>
          <w:rFonts w:eastAsia="Trebuchet MS" w:cs="Times New Roman"/>
          <w:b/>
          <w:bCs/>
          <w:color w:val="auto"/>
        </w:rPr>
        <w:tab/>
        <w:t>COMUNICAT DE PRESĂ</w:t>
      </w:r>
    </w:p>
    <w:p w14:paraId="43F7A01A" w14:textId="38EB2AFE" w:rsidR="00D42CB6" w:rsidRPr="003461A4" w:rsidRDefault="00D42CB6" w:rsidP="00D54A2F">
      <w:pPr>
        <w:tabs>
          <w:tab w:val="left" w:pos="360"/>
        </w:tabs>
        <w:spacing w:before="120" w:after="120" w:line="360" w:lineRule="auto"/>
        <w:ind w:left="4320" w:right="555"/>
        <w:jc w:val="right"/>
        <w:rPr>
          <w:rFonts w:eastAsia="Trebuchet MS" w:cs="Times New Roman"/>
          <w:b/>
          <w:bCs/>
          <w:color w:val="auto"/>
        </w:rPr>
      </w:pPr>
      <w:r>
        <w:rPr>
          <w:rFonts w:eastAsia="Trebuchet MS" w:cs="Times New Roman"/>
          <w:b/>
          <w:bCs/>
          <w:color w:val="auto"/>
        </w:rPr>
        <w:t>16 februarie</w:t>
      </w:r>
      <w:r w:rsidRPr="003461A4">
        <w:rPr>
          <w:rFonts w:eastAsia="Trebuchet MS" w:cs="Times New Roman"/>
          <w:b/>
          <w:bCs/>
          <w:color w:val="auto"/>
        </w:rPr>
        <w:t xml:space="preserve"> 2022</w:t>
      </w:r>
    </w:p>
    <w:p w14:paraId="30DD2A64" w14:textId="77777777" w:rsidR="00D54A2F" w:rsidRDefault="00D54A2F" w:rsidP="00D42CB6">
      <w:pPr>
        <w:rPr>
          <w:color w:val="000000" w:themeColor="text1"/>
        </w:rPr>
      </w:pPr>
    </w:p>
    <w:p w14:paraId="0DC5D4B9" w14:textId="77777777" w:rsidR="00D42CB6" w:rsidRDefault="00D42CB6" w:rsidP="00D42CB6">
      <w:pPr>
        <w:rPr>
          <w:color w:val="000000" w:themeColor="text1"/>
        </w:rPr>
      </w:pPr>
      <w:bookmarkStart w:id="0" w:name="_GoBack"/>
      <w:bookmarkEnd w:id="0"/>
      <w:proofErr w:type="spellStart"/>
      <w:r>
        <w:rPr>
          <w:color w:val="000000" w:themeColor="text1"/>
        </w:rPr>
        <w:t>Ref</w:t>
      </w:r>
      <w:proofErr w:type="spellEnd"/>
      <w:r>
        <w:rPr>
          <w:color w:val="000000" w:themeColor="text1"/>
        </w:rPr>
        <w:t>: Creșterea concentrațiilor de poluanți în perioada 15-16 februarie, în Municipiul București și în întreaga țară</w:t>
      </w:r>
    </w:p>
    <w:p w14:paraId="1F8887B2" w14:textId="66AFC999" w:rsidR="004A6090" w:rsidRDefault="004A6090" w:rsidP="004A6090">
      <w:r>
        <w:t>În seara zilei de marți, 15 februarie</w:t>
      </w:r>
      <w:r>
        <w:t>, începând cu ora 21.00, la nivelul întregii țări, concentrațiile de particule în suspensie au crescut progresiv, emisiile de poluanți acumulându-se la nivelul solului din cauza existenței unor condiții meteorologice extrem de nefavorabile dispersiei. Potrivit Administrației Naționale de Meteorologie, mișcarea aerului pe orizontală a fost extrem de redusă, ceea ce a determinat condiții de calm atmosferic pe spații destul de extinse, iar pe verticală direcția  de deplasare a fost de sus în jos, pe fondul presiunii atmosferice ridicate, a umezelii relative a aerului</w:t>
      </w:r>
      <w:r>
        <w:t>,</w:t>
      </w:r>
      <w:r>
        <w:t xml:space="preserve"> în general</w:t>
      </w:r>
      <w:r>
        <w:t>,</w:t>
      </w:r>
      <w:r>
        <w:t xml:space="preserve"> ridicate și a </w:t>
      </w:r>
      <w:r>
        <w:t>formării unui stra</w:t>
      </w:r>
      <w:r>
        <w:t xml:space="preserve">t de inversiune termică, astfel încât efectul a fost cel al unui ”capac” care a împiedicat dispersia poluanților pe timpul nopții.  Condițiile de calm atmosferic și de inversiune </w:t>
      </w:r>
      <w:r>
        <w:t>termică s-au semnalat</w:t>
      </w:r>
      <w:r>
        <w:t xml:space="preserve"> în zonele mai joase de relief – zonele de câmpie și depresionare din </w:t>
      </w:r>
      <w:proofErr w:type="spellStart"/>
      <w:r>
        <w:t>intreaga</w:t>
      </w:r>
      <w:proofErr w:type="spellEnd"/>
      <w:r>
        <w:t xml:space="preserve"> țară, dar mai cu seamă în cele aflate în partea de sud și est a  țării, unde </w:t>
      </w:r>
      <w:proofErr w:type="spellStart"/>
      <w:r>
        <w:t>gosimea</w:t>
      </w:r>
      <w:proofErr w:type="spellEnd"/>
      <w:r>
        <w:t xml:space="preserve"> stratului de inversiune termică a fost semnificativ ceea ce a împiedicat total dispersia.</w:t>
      </w:r>
    </w:p>
    <w:p w14:paraId="03B86F9C" w14:textId="77777777" w:rsidR="00D42CB6" w:rsidRDefault="00D42CB6" w:rsidP="00D42CB6">
      <w:pPr>
        <w:jc w:val="center"/>
        <w:rPr>
          <w:color w:val="000000" w:themeColor="text1"/>
        </w:rPr>
      </w:pPr>
      <w:r>
        <w:rPr>
          <w:noProof/>
          <w:lang w:val="en-US"/>
        </w:rPr>
        <w:drawing>
          <wp:inline distT="0" distB="0" distL="0" distR="0" wp14:anchorId="29759FA2" wp14:editId="2079DD06">
            <wp:extent cx="3680460" cy="3934182"/>
            <wp:effectExtent l="0" t="0" r="3810" b="9525"/>
            <wp:docPr id="4" name="image2.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Diagram&#10;&#10;Description automatically generated"/>
                    <pic:cNvPicPr preferRelativeResize="0"/>
                  </pic:nvPicPr>
                  <pic:blipFill>
                    <a:blip r:embed="rId8"/>
                    <a:srcRect/>
                    <a:stretch>
                      <a:fillRect/>
                    </a:stretch>
                  </pic:blipFill>
                  <pic:spPr>
                    <a:xfrm>
                      <a:off x="0" y="0"/>
                      <a:ext cx="3680460" cy="3934182"/>
                    </a:xfrm>
                    <a:prstGeom prst="rect">
                      <a:avLst/>
                    </a:prstGeom>
                    <a:ln/>
                  </pic:spPr>
                </pic:pic>
              </a:graphicData>
            </a:graphic>
          </wp:inline>
        </w:drawing>
      </w:r>
    </w:p>
    <w:p w14:paraId="559E736F" w14:textId="77777777" w:rsidR="00D42CB6" w:rsidRDefault="00D42CB6" w:rsidP="00D42CB6">
      <w:pPr>
        <w:rPr>
          <w:color w:val="000000" w:themeColor="text1"/>
        </w:rPr>
      </w:pPr>
      <w:r>
        <w:rPr>
          <w:color w:val="000000" w:themeColor="text1"/>
        </w:rPr>
        <w:lastRenderedPageBreak/>
        <w:t>Astfel, conform analizei realizate la nivel național, specialiștii Agenției Naționale pentru Protecția Mediului au constatat că stațiile de monitorizare a calității aerului din întreaga țară au înregistrat creșteri ale concentrațiilor de poluanți atmosferici. Cele mai semnificative creșteri s-au înregistrat</w:t>
      </w:r>
    </w:p>
    <w:p w14:paraId="3ABF5945" w14:textId="77777777" w:rsidR="00D42CB6" w:rsidRDefault="00D42CB6" w:rsidP="00D42CB6">
      <w:pPr>
        <w:rPr>
          <w:color w:val="000000" w:themeColor="text1"/>
        </w:rPr>
      </w:pPr>
      <w:r>
        <w:rPr>
          <w:color w:val="000000" w:themeColor="text1"/>
        </w:rPr>
        <w:t>la stațiile din județele Alba, Cluj, Giurgiu, Mureș și Neamț, precum și la cele din aglomerarea București-Ilfov. Nu vorbim, așadar, despre un caz izolat pentru regiunea București, ci de un fenomen generalizat pe întreg teritoriul României.</w:t>
      </w:r>
    </w:p>
    <w:p w14:paraId="59D06DC7" w14:textId="77777777" w:rsidR="00D42CB6" w:rsidRDefault="00D42CB6" w:rsidP="00D42CB6">
      <w:pPr>
        <w:jc w:val="center"/>
        <w:rPr>
          <w:color w:val="000000" w:themeColor="text1"/>
        </w:rPr>
      </w:pPr>
      <w:r>
        <w:rPr>
          <w:noProof/>
          <w:color w:val="000000" w:themeColor="text1"/>
          <w:lang w:val="en-US"/>
        </w:rPr>
        <w:drawing>
          <wp:inline distT="0" distB="0" distL="0" distR="0" wp14:anchorId="7E20FA7B" wp14:editId="0B0111AD">
            <wp:extent cx="3848100" cy="451740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3874355" cy="4548231"/>
                    </a:xfrm>
                    <a:prstGeom prst="rect">
                      <a:avLst/>
                    </a:prstGeom>
                  </pic:spPr>
                </pic:pic>
              </a:graphicData>
            </a:graphic>
          </wp:inline>
        </w:drawing>
      </w:r>
    </w:p>
    <w:p w14:paraId="2C105099" w14:textId="77777777" w:rsidR="00D42CB6" w:rsidRPr="001769F2" w:rsidRDefault="00D42CB6" w:rsidP="00D42CB6">
      <w:pPr>
        <w:rPr>
          <w:color w:val="000000" w:themeColor="text1"/>
        </w:rPr>
      </w:pPr>
      <w:r>
        <w:rPr>
          <w:color w:val="000000" w:themeColor="text1"/>
        </w:rPr>
        <w:t>La nivelul Municipiului București, d</w:t>
      </w:r>
      <w:r w:rsidRPr="001769F2">
        <w:rPr>
          <w:color w:val="000000" w:themeColor="text1"/>
        </w:rPr>
        <w:t>omeniile de concentrații ale</w:t>
      </w:r>
      <w:r>
        <w:rPr>
          <w:color w:val="000000" w:themeColor="text1"/>
        </w:rPr>
        <w:t xml:space="preserve"> particulelor în suspensie</w:t>
      </w:r>
      <w:r w:rsidRPr="001769F2">
        <w:rPr>
          <w:color w:val="000000" w:themeColor="text1"/>
        </w:rPr>
        <w:t xml:space="preserve"> PM10 si PM2.5 (mai mari de 50 microgr</w:t>
      </w:r>
      <w:r>
        <w:rPr>
          <w:color w:val="000000" w:themeColor="text1"/>
        </w:rPr>
        <w:t>ame/mc, respectiv 25 micrograme/</w:t>
      </w:r>
      <w:r w:rsidRPr="001769F2">
        <w:rPr>
          <w:color w:val="000000" w:themeColor="text1"/>
        </w:rPr>
        <w:t>mc) au condus la stabili</w:t>
      </w:r>
      <w:r>
        <w:rPr>
          <w:color w:val="000000" w:themeColor="text1"/>
        </w:rPr>
        <w:t>rea</w:t>
      </w:r>
      <w:r w:rsidRPr="001769F2">
        <w:rPr>
          <w:color w:val="000000" w:themeColor="text1"/>
        </w:rPr>
        <w:t xml:space="preserve"> indic</w:t>
      </w:r>
      <w:r>
        <w:rPr>
          <w:color w:val="000000" w:themeColor="text1"/>
        </w:rPr>
        <w:t>ilor</w:t>
      </w:r>
      <w:r w:rsidRPr="001769F2">
        <w:rPr>
          <w:color w:val="000000" w:themeColor="text1"/>
        </w:rPr>
        <w:t xml:space="preserve"> specific</w:t>
      </w:r>
      <w:r>
        <w:rPr>
          <w:color w:val="000000" w:themeColor="text1"/>
        </w:rPr>
        <w:t>i</w:t>
      </w:r>
      <w:r w:rsidRPr="001769F2">
        <w:rPr>
          <w:color w:val="000000" w:themeColor="text1"/>
        </w:rPr>
        <w:t xml:space="preserve"> “r</w:t>
      </w:r>
      <w:r>
        <w:rPr>
          <w:color w:val="000000" w:themeColor="text1"/>
        </w:rPr>
        <w:t>ă</w:t>
      </w:r>
      <w:r w:rsidRPr="001769F2">
        <w:rPr>
          <w:color w:val="000000" w:themeColor="text1"/>
        </w:rPr>
        <w:t>u”</w:t>
      </w:r>
      <w:r>
        <w:rPr>
          <w:color w:val="000000" w:themeColor="text1"/>
        </w:rPr>
        <w:t xml:space="preserve"> și ”foarte rău” pentru</w:t>
      </w:r>
      <w:r w:rsidRPr="001769F2">
        <w:rPr>
          <w:color w:val="000000" w:themeColor="text1"/>
        </w:rPr>
        <w:t xml:space="preserve"> ultimele 24 de ore, conform sistemului de codificare utilizat pentru informarea publicului privind calitatea aerului.</w:t>
      </w:r>
    </w:p>
    <w:p w14:paraId="27020689" w14:textId="77777777" w:rsidR="00D42CB6" w:rsidRDefault="00D42CB6" w:rsidP="00D42CB6">
      <w:pPr>
        <w:rPr>
          <w:color w:val="000000" w:themeColor="text1"/>
        </w:rPr>
      </w:pPr>
      <w:r>
        <w:rPr>
          <w:color w:val="000000" w:themeColor="text1"/>
        </w:rPr>
        <w:t>Potrivit specialiștilor Agenției pentru Protecția Mediului București c</w:t>
      </w:r>
      <w:r w:rsidRPr="001769F2">
        <w:rPr>
          <w:color w:val="000000" w:themeColor="text1"/>
        </w:rPr>
        <w:t>oncentrațiile de particule PM 10 au rămas ridicate pe parcursul întregii nopți, iar în această dimineață la 6 din cele 8 stații s</w:t>
      </w:r>
      <w:r>
        <w:rPr>
          <w:color w:val="000000" w:themeColor="text1"/>
        </w:rPr>
        <w:t xml:space="preserve">-au </w:t>
      </w:r>
      <w:r w:rsidRPr="001769F2">
        <w:rPr>
          <w:color w:val="000000" w:themeColor="text1"/>
        </w:rPr>
        <w:t>înregistr</w:t>
      </w:r>
      <w:r>
        <w:rPr>
          <w:color w:val="000000" w:themeColor="text1"/>
        </w:rPr>
        <w:t>at</w:t>
      </w:r>
      <w:r w:rsidRPr="001769F2">
        <w:rPr>
          <w:color w:val="000000" w:themeColor="text1"/>
        </w:rPr>
        <w:t xml:space="preserve"> peste 100 micrograme/mc.  Concentrația maximă orară  s-a înregistrat la ora 24.00, la stația B1-Lacul Morii (126 micrograme/mc), în timp ce media zilnică maximă a fost la aceeași stație - 60.58 micrograme/mc (aprox</w:t>
      </w:r>
      <w:r>
        <w:rPr>
          <w:color w:val="000000" w:themeColor="text1"/>
        </w:rPr>
        <w:t>.</w:t>
      </w:r>
      <w:r w:rsidRPr="001769F2">
        <w:rPr>
          <w:color w:val="000000" w:themeColor="text1"/>
        </w:rPr>
        <w:t xml:space="preserve"> 20% peste valoarea limit</w:t>
      </w:r>
      <w:r>
        <w:rPr>
          <w:color w:val="000000" w:themeColor="text1"/>
        </w:rPr>
        <w:t>ă</w:t>
      </w:r>
      <w:r w:rsidRPr="001769F2">
        <w:rPr>
          <w:color w:val="000000" w:themeColor="text1"/>
        </w:rPr>
        <w:t>)</w:t>
      </w:r>
      <w:r>
        <w:rPr>
          <w:color w:val="000000" w:themeColor="text1"/>
        </w:rPr>
        <w:t>.</w:t>
      </w:r>
    </w:p>
    <w:p w14:paraId="181837D8" w14:textId="13C16B7F" w:rsidR="00D42CB6" w:rsidRPr="001769F2" w:rsidRDefault="00D42CB6" w:rsidP="00D42CB6">
      <w:pPr>
        <w:rPr>
          <w:color w:val="000000" w:themeColor="text1"/>
        </w:rPr>
      </w:pPr>
      <w:r>
        <w:rPr>
          <w:color w:val="000000" w:themeColor="text1"/>
        </w:rPr>
        <w:t>PM</w:t>
      </w:r>
      <w:r w:rsidRPr="001769F2">
        <w:rPr>
          <w:color w:val="000000" w:themeColor="text1"/>
        </w:rPr>
        <w:t>2.5 a înregistrat concentrații ridicate la 2 dintre cele 3 puncte în care se monitorizează automat  acest poluant.</w:t>
      </w:r>
    </w:p>
    <w:p w14:paraId="74231449" w14:textId="77777777" w:rsidR="00D42CB6" w:rsidRPr="001769F2" w:rsidRDefault="00D42CB6" w:rsidP="00D42CB6">
      <w:pPr>
        <w:rPr>
          <w:color w:val="000000" w:themeColor="text1"/>
        </w:rPr>
      </w:pPr>
      <w:r w:rsidRPr="001769F2">
        <w:rPr>
          <w:color w:val="000000" w:themeColor="text1"/>
        </w:rPr>
        <w:lastRenderedPageBreak/>
        <w:t xml:space="preserve">Valoarea limită pentru PM10 este stabilită de legislație doar pentru media zilnică și cea anuală, valoarea limită zilnică (50 micrograme/mc) fiind depășită ieri la 6 dintre cele 8 puncte de monitorizare. </w:t>
      </w:r>
    </w:p>
    <w:p w14:paraId="00CE24EB" w14:textId="77777777" w:rsidR="00D42CB6" w:rsidRPr="001769F2" w:rsidRDefault="00D42CB6" w:rsidP="00D42CB6">
      <w:pPr>
        <w:rPr>
          <w:color w:val="000000" w:themeColor="text1"/>
        </w:rPr>
      </w:pPr>
      <w:r>
        <w:rPr>
          <w:color w:val="000000" w:themeColor="text1"/>
        </w:rPr>
        <w:t>Pentru PM</w:t>
      </w:r>
      <w:r w:rsidRPr="001769F2">
        <w:rPr>
          <w:color w:val="000000" w:themeColor="text1"/>
        </w:rPr>
        <w:t xml:space="preserve">2.5 legislația stabilește valoarea limită doar pentru perioada de mediere an calendaristic, astfel încât valorile concentrațiilor medii orare nu se compară cu valoarea limită de 20 micrograme/mc, ci doar media anuală obținută din medierea tuturor concentrațiilor măsurate în cele 365 zile ale unui an. </w:t>
      </w:r>
    </w:p>
    <w:p w14:paraId="7F6AEA2A" w14:textId="77777777" w:rsidR="00D42CB6" w:rsidRPr="001769F2" w:rsidRDefault="00D42CB6" w:rsidP="00D42CB6">
      <w:pPr>
        <w:rPr>
          <w:color w:val="000000" w:themeColor="text1"/>
        </w:rPr>
      </w:pPr>
      <w:r w:rsidRPr="001769F2">
        <w:rPr>
          <w:color w:val="000000" w:themeColor="text1"/>
        </w:rPr>
        <w:t xml:space="preserve">Ceilalți indicatori monitorizați (dioxid de azot, dioxid de sulf, monoxid de carbon, benzen) nu au depășit valorile limită și nu au avut concentrații foarte ridicate, însă și în cazul lor dispersia nu s-a realizat, concentrațiile având o tendință de creștere față de zilele anterioare. </w:t>
      </w:r>
    </w:p>
    <w:p w14:paraId="43A64033" w14:textId="77777777" w:rsidR="00D42CB6" w:rsidRDefault="00D42CB6" w:rsidP="00D42CB6">
      <w:pPr>
        <w:rPr>
          <w:color w:val="000000" w:themeColor="text1"/>
        </w:rPr>
      </w:pPr>
      <w:r>
        <w:rPr>
          <w:color w:val="000000" w:themeColor="text1"/>
        </w:rPr>
        <w:t>Analiza datelor istorice ne arată că, în perioada de iarnă și primăvară,</w:t>
      </w:r>
      <w:r w:rsidRPr="001769F2">
        <w:rPr>
          <w:color w:val="000000" w:themeColor="text1"/>
        </w:rPr>
        <w:t xml:space="preserve"> se înregistrează mai multe zile cu condiții meteo nefavorabile dispersiei decât vara, astfel încât surse mici sau medii de ardere, dar numeroase (trafic, încălzire rezidențială etc) pot avea, uneori, un  impact mult mai puternic asupra calității aerului, la același nivel de emisie</w:t>
      </w:r>
      <w:r>
        <w:rPr>
          <w:color w:val="000000" w:themeColor="text1"/>
        </w:rPr>
        <w:t>, mai ales în condițiile în care autoritățile publice locale nu iau, în aceste perioade, măsuri specifice de îmbunătățire a calității aerului.</w:t>
      </w:r>
    </w:p>
    <w:p w14:paraId="75E3C60B" w14:textId="67C30E3D" w:rsidR="00D42CB6" w:rsidRDefault="00D42CB6" w:rsidP="00D42CB6">
      <w:pPr>
        <w:rPr>
          <w:color w:val="000000" w:themeColor="text1"/>
        </w:rPr>
      </w:pPr>
      <w:r w:rsidRPr="001769F2">
        <w:rPr>
          <w:color w:val="000000" w:themeColor="text1"/>
        </w:rPr>
        <w:t xml:space="preserve">Conform procedurii interne de alarmare și comunicare, rezultatele au fost comunicate </w:t>
      </w:r>
      <w:r>
        <w:rPr>
          <w:color w:val="000000" w:themeColor="text1"/>
        </w:rPr>
        <w:t xml:space="preserve">imediat către </w:t>
      </w:r>
      <w:r w:rsidRPr="001769F2">
        <w:rPr>
          <w:color w:val="000000" w:themeColor="text1"/>
        </w:rPr>
        <w:t>G</w:t>
      </w:r>
      <w:r>
        <w:rPr>
          <w:color w:val="000000" w:themeColor="text1"/>
        </w:rPr>
        <w:t xml:space="preserve">arda </w:t>
      </w:r>
      <w:r w:rsidRPr="001769F2">
        <w:rPr>
          <w:color w:val="000000" w:themeColor="text1"/>
        </w:rPr>
        <w:t>N</w:t>
      </w:r>
      <w:r>
        <w:rPr>
          <w:color w:val="000000" w:themeColor="text1"/>
        </w:rPr>
        <w:t xml:space="preserve">ațională de </w:t>
      </w:r>
      <w:r w:rsidRPr="001769F2">
        <w:rPr>
          <w:color w:val="000000" w:themeColor="text1"/>
        </w:rPr>
        <w:t>M</w:t>
      </w:r>
      <w:r>
        <w:rPr>
          <w:color w:val="000000" w:themeColor="text1"/>
        </w:rPr>
        <w:t>ediu</w:t>
      </w:r>
      <w:r w:rsidRPr="001769F2">
        <w:rPr>
          <w:color w:val="000000" w:themeColor="text1"/>
        </w:rPr>
        <w:t xml:space="preserve"> pentru a se identifica în teren existența/inexistența unor surse suplimentare de emisie.</w:t>
      </w:r>
      <w:r>
        <w:rPr>
          <w:color w:val="000000" w:themeColor="text1"/>
        </w:rPr>
        <w:t xml:space="preserve"> Echipele de permanență ale comisariatelor GNM din București și Ilfov s-au aflat în alertă pe întreg parcursul nopții, însă nu au fost înregistrate sesizări cu privire la existența unor focare de arderi care ar fi putut influența calitatea aerului.</w:t>
      </w:r>
    </w:p>
    <w:p w14:paraId="41061A25" w14:textId="77777777" w:rsidR="001C66BE" w:rsidRDefault="001C66BE" w:rsidP="00D42CB6">
      <w:pPr>
        <w:rPr>
          <w:color w:val="000000" w:themeColor="text1"/>
        </w:rPr>
      </w:pPr>
    </w:p>
    <w:p w14:paraId="16ACF1F6" w14:textId="77777777" w:rsidR="00D42CB6" w:rsidRPr="00BE1951" w:rsidRDefault="00D42CB6" w:rsidP="00D42CB6">
      <w:pPr>
        <w:jc w:val="center"/>
        <w:rPr>
          <w:color w:val="000000" w:themeColor="text1"/>
        </w:rPr>
      </w:pPr>
      <w:r>
        <w:rPr>
          <w:noProof/>
          <w:lang w:val="en-US"/>
        </w:rPr>
        <w:drawing>
          <wp:inline distT="0" distB="0" distL="0" distR="0" wp14:anchorId="03CC1404" wp14:editId="118CF5EC">
            <wp:extent cx="5345032" cy="3779899"/>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5983" cy="3823002"/>
                    </a:xfrm>
                    <a:prstGeom prst="rect">
                      <a:avLst/>
                    </a:prstGeom>
                    <a:noFill/>
                    <a:ln>
                      <a:noFill/>
                    </a:ln>
                  </pic:spPr>
                </pic:pic>
              </a:graphicData>
            </a:graphic>
          </wp:inline>
        </w:drawing>
      </w:r>
    </w:p>
    <w:p w14:paraId="03CB2E2E" w14:textId="77777777" w:rsidR="00D42CB6" w:rsidRPr="001769F2" w:rsidRDefault="00D42CB6" w:rsidP="00D42CB6">
      <w:pPr>
        <w:jc w:val="center"/>
        <w:rPr>
          <w:color w:val="000000" w:themeColor="text1"/>
        </w:rPr>
      </w:pPr>
      <w:r>
        <w:rPr>
          <w:noProof/>
          <w:lang w:val="en-US"/>
        </w:rPr>
        <w:lastRenderedPageBreak/>
        <w:drawing>
          <wp:inline distT="0" distB="0" distL="0" distR="0" wp14:anchorId="792A7931" wp14:editId="6D7846C8">
            <wp:extent cx="5731510" cy="4053205"/>
            <wp:effectExtent l="0" t="0" r="254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4053205"/>
                    </a:xfrm>
                    <a:prstGeom prst="rect">
                      <a:avLst/>
                    </a:prstGeom>
                    <a:noFill/>
                    <a:ln>
                      <a:noFill/>
                    </a:ln>
                  </pic:spPr>
                </pic:pic>
              </a:graphicData>
            </a:graphic>
          </wp:inline>
        </w:drawing>
      </w:r>
      <w:r>
        <w:rPr>
          <w:noProof/>
          <w:lang w:val="en-US"/>
        </w:rPr>
        <w:drawing>
          <wp:inline distT="0" distB="0" distL="0" distR="0" wp14:anchorId="3A405BC5" wp14:editId="520D6ACF">
            <wp:extent cx="5731510" cy="4053205"/>
            <wp:effectExtent l="0" t="0" r="254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4053205"/>
                    </a:xfrm>
                    <a:prstGeom prst="rect">
                      <a:avLst/>
                    </a:prstGeom>
                    <a:noFill/>
                    <a:ln>
                      <a:noFill/>
                    </a:ln>
                  </pic:spPr>
                </pic:pic>
              </a:graphicData>
            </a:graphic>
          </wp:inline>
        </w:drawing>
      </w:r>
      <w:r>
        <w:rPr>
          <w:noProof/>
          <w:lang w:val="en-US"/>
        </w:rPr>
        <w:lastRenderedPageBreak/>
        <w:drawing>
          <wp:inline distT="0" distB="0" distL="0" distR="0" wp14:anchorId="67C763A9" wp14:editId="674729C7">
            <wp:extent cx="5731510" cy="4053205"/>
            <wp:effectExtent l="0" t="0" r="254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4053205"/>
                    </a:xfrm>
                    <a:prstGeom prst="rect">
                      <a:avLst/>
                    </a:prstGeom>
                    <a:noFill/>
                    <a:ln>
                      <a:noFill/>
                    </a:ln>
                  </pic:spPr>
                </pic:pic>
              </a:graphicData>
            </a:graphic>
          </wp:inline>
        </w:drawing>
      </w:r>
      <w:r>
        <w:rPr>
          <w:noProof/>
          <w:lang w:val="en-US"/>
        </w:rPr>
        <w:drawing>
          <wp:inline distT="0" distB="0" distL="0" distR="0" wp14:anchorId="301A99E6" wp14:editId="078EE7E5">
            <wp:extent cx="5731510" cy="4053205"/>
            <wp:effectExtent l="0" t="0" r="254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4053205"/>
                    </a:xfrm>
                    <a:prstGeom prst="rect">
                      <a:avLst/>
                    </a:prstGeom>
                    <a:noFill/>
                    <a:ln>
                      <a:noFill/>
                    </a:ln>
                  </pic:spPr>
                </pic:pic>
              </a:graphicData>
            </a:graphic>
          </wp:inline>
        </w:drawing>
      </w:r>
      <w:r>
        <w:rPr>
          <w:noProof/>
          <w:lang w:val="en-US"/>
        </w:rPr>
        <w:lastRenderedPageBreak/>
        <w:drawing>
          <wp:inline distT="0" distB="0" distL="0" distR="0" wp14:anchorId="1062FFC8" wp14:editId="40FB48FD">
            <wp:extent cx="5731510" cy="405320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4053205"/>
                    </a:xfrm>
                    <a:prstGeom prst="rect">
                      <a:avLst/>
                    </a:prstGeom>
                    <a:noFill/>
                    <a:ln>
                      <a:noFill/>
                    </a:ln>
                  </pic:spPr>
                </pic:pic>
              </a:graphicData>
            </a:graphic>
          </wp:inline>
        </w:drawing>
      </w:r>
    </w:p>
    <w:p w14:paraId="42AB8075" w14:textId="77777777" w:rsidR="001C66BE" w:rsidRDefault="001C66BE" w:rsidP="00D42CB6">
      <w:pPr>
        <w:spacing w:before="120" w:after="120" w:line="360" w:lineRule="auto"/>
        <w:rPr>
          <w:b/>
          <w:bCs/>
          <w:color w:val="auto"/>
        </w:rPr>
      </w:pPr>
    </w:p>
    <w:p w14:paraId="24B75CF3" w14:textId="77777777" w:rsidR="00D42CB6" w:rsidRPr="006107C6" w:rsidRDefault="00D42CB6" w:rsidP="00D42CB6">
      <w:pPr>
        <w:spacing w:before="120" w:after="120" w:line="360" w:lineRule="auto"/>
        <w:rPr>
          <w:b/>
          <w:bCs/>
          <w:color w:val="auto"/>
        </w:rPr>
      </w:pPr>
      <w:r w:rsidRPr="006107C6">
        <w:rPr>
          <w:b/>
          <w:bCs/>
          <w:color w:val="auto"/>
        </w:rPr>
        <w:t xml:space="preserve">DIRECȚIA DE COMUNICARE, TRANSPARENȚĂ ȘI IT </w:t>
      </w:r>
    </w:p>
    <w:p w14:paraId="304D5CB8" w14:textId="77777777" w:rsidR="003E349E" w:rsidRDefault="003E349E" w:rsidP="003E349E">
      <w:pPr>
        <w:spacing w:before="0" w:after="0" w:line="240" w:lineRule="auto"/>
        <w:ind w:firstLine="720"/>
        <w:rPr>
          <w:b/>
          <w:shd w:val="clear" w:color="auto" w:fill="FFFFFF"/>
        </w:rPr>
      </w:pPr>
    </w:p>
    <w:sectPr w:rsidR="003E349E" w:rsidSect="00D42CB6">
      <w:headerReference w:type="default" r:id="rId16"/>
      <w:footerReference w:type="default" r:id="rId17"/>
      <w:headerReference w:type="first" r:id="rId18"/>
      <w:footerReference w:type="first" r:id="rId19"/>
      <w:pgSz w:w="11907" w:h="16839" w:code="9"/>
      <w:pgMar w:top="1440" w:right="1080" w:bottom="1440" w:left="1080" w:header="325"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392EB2" w14:textId="77777777" w:rsidR="00081D77" w:rsidRDefault="00081D77" w:rsidP="00F721A4">
      <w:pPr>
        <w:spacing w:after="0" w:line="240" w:lineRule="auto"/>
      </w:pPr>
      <w:r>
        <w:separator/>
      </w:r>
    </w:p>
  </w:endnote>
  <w:endnote w:type="continuationSeparator" w:id="0">
    <w:p w14:paraId="38C132FC" w14:textId="77777777" w:rsidR="00081D77" w:rsidRDefault="00081D77"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Open Sans">
    <w:altName w:val="Verdana"/>
    <w:charset w:val="00"/>
    <w:family w:val="swiss"/>
    <w:pitch w:val="variable"/>
    <w:sig w:usb0="00000001"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vantGardEFNormal">
    <w:panose1 w:val="02000503040000020004"/>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007C1" w14:textId="206BDC0B" w:rsidR="007666A9" w:rsidRDefault="007666A9" w:rsidP="00D42CB6">
    <w:pPr>
      <w:pStyle w:val="Footer1"/>
    </w:pP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09561216" w:rsidR="007666A9" w:rsidRDefault="007666A9" w:rsidP="00D42CB6">
    <w:pPr>
      <w:pStyle w:val="Footer1"/>
    </w:pPr>
    <w:r w:rsidRPr="00FB602D">
      <w:t>Tel.: +4 021 408</w:t>
    </w:r>
    <w:r>
      <w:t xml:space="preserve"> 9605</w:t>
    </w:r>
  </w:p>
  <w:p w14:paraId="2A2A6A18" w14:textId="46009C6D" w:rsidR="007666A9" w:rsidRPr="00FB602D" w:rsidRDefault="007666A9" w:rsidP="00D42CB6">
    <w:pPr>
      <w:pStyle w:val="Footer1"/>
    </w:pPr>
    <w:r>
      <w:t xml:space="preserve">e-mail: </w:t>
    </w:r>
    <w:r w:rsidR="00CF5E5E">
      <w:rPr>
        <w:rStyle w:val="Hyperlink"/>
      </w:rPr>
      <w:t>comunicare@mmediu.ro</w:t>
    </w:r>
  </w:p>
  <w:p w14:paraId="3834E473" w14:textId="207DD18C" w:rsidR="007666A9" w:rsidRPr="00FB602D" w:rsidRDefault="007666A9" w:rsidP="00D42CB6">
    <w:pPr>
      <w:pStyle w:val="Footer1"/>
    </w:pP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BD2CB" w14:textId="2796F4F5" w:rsidR="00E26A4D" w:rsidRDefault="00E26A4D" w:rsidP="00E26A4D">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6259B097" w:rsidR="00E26A4D" w:rsidRDefault="00E26A4D" w:rsidP="00E26A4D">
    <w:pPr>
      <w:pStyle w:val="Footer1"/>
      <w:ind w:left="709"/>
    </w:pPr>
    <w:r>
      <w:t xml:space="preserve"> </w:t>
    </w:r>
    <w:r w:rsidRPr="00FB602D">
      <w:t>Tel.: +4 021 408</w:t>
    </w:r>
    <w:r>
      <w:t xml:space="preserve"> 9</w:t>
    </w:r>
    <w:r w:rsidR="00983891">
      <w:t>521</w:t>
    </w:r>
  </w:p>
  <w:p w14:paraId="25625F3D" w14:textId="61CD0623" w:rsidR="00E26A4D" w:rsidRPr="00FB602D" w:rsidRDefault="00E26A4D" w:rsidP="00E26A4D">
    <w:pPr>
      <w:pStyle w:val="Footer1"/>
      <w:ind w:left="709"/>
    </w:pPr>
    <w:r>
      <w:t xml:space="preserve"> e-mail: </w:t>
    </w:r>
    <w:r w:rsidR="00D1509A">
      <w:rPr>
        <w:rStyle w:val="Hyperlink"/>
      </w:rPr>
      <w:t>cabinet.ministru@mmediu.ro</w:t>
    </w:r>
  </w:p>
  <w:p w14:paraId="49EC72C3" w14:textId="77777777" w:rsidR="00E26A4D" w:rsidRPr="00FB602D" w:rsidRDefault="00E26A4D" w:rsidP="00E26A4D">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271AB" w14:textId="77777777" w:rsidR="00081D77" w:rsidRDefault="00081D77" w:rsidP="00F721A4">
      <w:pPr>
        <w:spacing w:after="0" w:line="240" w:lineRule="auto"/>
      </w:pPr>
      <w:r>
        <w:separator/>
      </w:r>
    </w:p>
  </w:footnote>
  <w:footnote w:type="continuationSeparator" w:id="0">
    <w:p w14:paraId="16AC9A15" w14:textId="77777777" w:rsidR="00081D77" w:rsidRDefault="00081D77" w:rsidP="00F721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B8212" w14:textId="2EA9566C" w:rsidR="004A4250" w:rsidRDefault="004A4250">
    <w:pPr>
      <w:pStyle w:val="Header"/>
    </w:pPr>
  </w:p>
  <w:p w14:paraId="31653085" w14:textId="77777777" w:rsidR="00717FF8" w:rsidRDefault="00717F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5F388" w14:textId="228C894F" w:rsidR="00A862F9" w:rsidRDefault="006715A6">
    <w:pPr>
      <w:pStyle w:val="Header"/>
    </w:pPr>
    <w:r>
      <w:t xml:space="preserve"> </w:t>
    </w:r>
    <w:r w:rsidR="00D42CB6">
      <w:rPr>
        <w:noProof/>
        <w:lang w:val="en-US"/>
      </w:rPr>
      <w:drawing>
        <wp:inline distT="0" distB="0" distL="0" distR="0" wp14:anchorId="047C6DC0" wp14:editId="348B0E41">
          <wp:extent cx="3237230" cy="895985"/>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r>
      <w:t xml:space="preserve">  </w:t>
    </w:r>
    <w:r w:rsidR="003E349E">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B4F4A"/>
    <w:multiLevelType w:val="hybridMultilevel"/>
    <w:tmpl w:val="0F1889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B5656C"/>
    <w:multiLevelType w:val="hybridMultilevel"/>
    <w:tmpl w:val="70BEA914"/>
    <w:lvl w:ilvl="0" w:tplc="08090001">
      <w:start w:val="1"/>
      <w:numFmt w:val="bullet"/>
      <w:lvlText w:val=""/>
      <w:lvlJc w:val="left"/>
      <w:pPr>
        <w:ind w:left="2138" w:hanging="360"/>
      </w:pPr>
      <w:rPr>
        <w:rFonts w:ascii="Symbol" w:hAnsi="Symbol" w:cs="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cs="Wingdings" w:hint="default"/>
      </w:rPr>
    </w:lvl>
    <w:lvl w:ilvl="3" w:tplc="08090001" w:tentative="1">
      <w:start w:val="1"/>
      <w:numFmt w:val="bullet"/>
      <w:lvlText w:val=""/>
      <w:lvlJc w:val="left"/>
      <w:pPr>
        <w:ind w:left="4298" w:hanging="360"/>
      </w:pPr>
      <w:rPr>
        <w:rFonts w:ascii="Symbol" w:hAnsi="Symbol" w:cs="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cs="Wingdings" w:hint="default"/>
      </w:rPr>
    </w:lvl>
    <w:lvl w:ilvl="6" w:tplc="08090001" w:tentative="1">
      <w:start w:val="1"/>
      <w:numFmt w:val="bullet"/>
      <w:lvlText w:val=""/>
      <w:lvlJc w:val="left"/>
      <w:pPr>
        <w:ind w:left="6458" w:hanging="360"/>
      </w:pPr>
      <w:rPr>
        <w:rFonts w:ascii="Symbol" w:hAnsi="Symbol" w:cs="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cs="Wingdings" w:hint="default"/>
      </w:rPr>
    </w:lvl>
  </w:abstractNum>
  <w:abstractNum w:abstractNumId="2"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257232EE"/>
    <w:multiLevelType w:val="hybridMultilevel"/>
    <w:tmpl w:val="1024B4A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5" w15:restartNumberingAfterBreak="0">
    <w:nsid w:val="444F5B4B"/>
    <w:multiLevelType w:val="hybridMultilevel"/>
    <w:tmpl w:val="FF0E4FDC"/>
    <w:lvl w:ilvl="0" w:tplc="BC7A24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D0D"/>
    <w:rsid w:val="00017784"/>
    <w:rsid w:val="00034709"/>
    <w:rsid w:val="00035698"/>
    <w:rsid w:val="00043CF7"/>
    <w:rsid w:val="000640DF"/>
    <w:rsid w:val="00081D77"/>
    <w:rsid w:val="000A727B"/>
    <w:rsid w:val="000D000A"/>
    <w:rsid w:val="000F4E91"/>
    <w:rsid w:val="000F55B5"/>
    <w:rsid w:val="00105F3F"/>
    <w:rsid w:val="00122850"/>
    <w:rsid w:val="00141E04"/>
    <w:rsid w:val="0016735A"/>
    <w:rsid w:val="00192ACB"/>
    <w:rsid w:val="001B60D5"/>
    <w:rsid w:val="001B7477"/>
    <w:rsid w:val="001C2217"/>
    <w:rsid w:val="001C410A"/>
    <w:rsid w:val="001C5A7B"/>
    <w:rsid w:val="001C66BE"/>
    <w:rsid w:val="001F3A2A"/>
    <w:rsid w:val="002870FC"/>
    <w:rsid w:val="002A3560"/>
    <w:rsid w:val="00311C12"/>
    <w:rsid w:val="00343AB0"/>
    <w:rsid w:val="00380854"/>
    <w:rsid w:val="00381571"/>
    <w:rsid w:val="003A4A69"/>
    <w:rsid w:val="003C51B0"/>
    <w:rsid w:val="003D2A04"/>
    <w:rsid w:val="003E349E"/>
    <w:rsid w:val="0040701F"/>
    <w:rsid w:val="00414278"/>
    <w:rsid w:val="00426B04"/>
    <w:rsid w:val="004405F7"/>
    <w:rsid w:val="00454690"/>
    <w:rsid w:val="00482B9D"/>
    <w:rsid w:val="0048510A"/>
    <w:rsid w:val="004A4250"/>
    <w:rsid w:val="004A6090"/>
    <w:rsid w:val="004B4DDB"/>
    <w:rsid w:val="004D5FFB"/>
    <w:rsid w:val="004E43C2"/>
    <w:rsid w:val="004F50A7"/>
    <w:rsid w:val="00500F53"/>
    <w:rsid w:val="00525D25"/>
    <w:rsid w:val="00543C7F"/>
    <w:rsid w:val="005545F4"/>
    <w:rsid w:val="00576E11"/>
    <w:rsid w:val="00587D1C"/>
    <w:rsid w:val="00597986"/>
    <w:rsid w:val="005A6A2B"/>
    <w:rsid w:val="00610D05"/>
    <w:rsid w:val="006236C7"/>
    <w:rsid w:val="0062601F"/>
    <w:rsid w:val="00631500"/>
    <w:rsid w:val="00632F40"/>
    <w:rsid w:val="0063782A"/>
    <w:rsid w:val="006445B8"/>
    <w:rsid w:val="006562D8"/>
    <w:rsid w:val="006715A6"/>
    <w:rsid w:val="006722E0"/>
    <w:rsid w:val="006954E2"/>
    <w:rsid w:val="00696B6C"/>
    <w:rsid w:val="006A0FDF"/>
    <w:rsid w:val="006A244E"/>
    <w:rsid w:val="006A2AB0"/>
    <w:rsid w:val="006A7E9E"/>
    <w:rsid w:val="006C3253"/>
    <w:rsid w:val="006C45B1"/>
    <w:rsid w:val="006C468F"/>
    <w:rsid w:val="006D4654"/>
    <w:rsid w:val="006F2233"/>
    <w:rsid w:val="006F5C4F"/>
    <w:rsid w:val="00717FF8"/>
    <w:rsid w:val="00724323"/>
    <w:rsid w:val="00765148"/>
    <w:rsid w:val="007666A9"/>
    <w:rsid w:val="00785A42"/>
    <w:rsid w:val="007A203C"/>
    <w:rsid w:val="007A5996"/>
    <w:rsid w:val="007A7A04"/>
    <w:rsid w:val="007B1562"/>
    <w:rsid w:val="007C4FB3"/>
    <w:rsid w:val="007C693C"/>
    <w:rsid w:val="007D3B9F"/>
    <w:rsid w:val="007D7D0D"/>
    <w:rsid w:val="007F5A1A"/>
    <w:rsid w:val="008073D3"/>
    <w:rsid w:val="00810EB1"/>
    <w:rsid w:val="00826132"/>
    <w:rsid w:val="00830419"/>
    <w:rsid w:val="00831CD8"/>
    <w:rsid w:val="008847BF"/>
    <w:rsid w:val="00892D18"/>
    <w:rsid w:val="008A2B03"/>
    <w:rsid w:val="008B06CA"/>
    <w:rsid w:val="008F06A0"/>
    <w:rsid w:val="008F0F94"/>
    <w:rsid w:val="008F7C84"/>
    <w:rsid w:val="00902BA4"/>
    <w:rsid w:val="00907215"/>
    <w:rsid w:val="009164FF"/>
    <w:rsid w:val="0094775A"/>
    <w:rsid w:val="0095716A"/>
    <w:rsid w:val="009636DB"/>
    <w:rsid w:val="00983891"/>
    <w:rsid w:val="00984F08"/>
    <w:rsid w:val="00991189"/>
    <w:rsid w:val="00994B15"/>
    <w:rsid w:val="009A7F97"/>
    <w:rsid w:val="009B19F6"/>
    <w:rsid w:val="009C511D"/>
    <w:rsid w:val="009C7693"/>
    <w:rsid w:val="009E5545"/>
    <w:rsid w:val="009F340E"/>
    <w:rsid w:val="00A11EBF"/>
    <w:rsid w:val="00A131CC"/>
    <w:rsid w:val="00A161EE"/>
    <w:rsid w:val="00A3390F"/>
    <w:rsid w:val="00A374DC"/>
    <w:rsid w:val="00A40435"/>
    <w:rsid w:val="00A41E08"/>
    <w:rsid w:val="00A465B6"/>
    <w:rsid w:val="00A57631"/>
    <w:rsid w:val="00A6099E"/>
    <w:rsid w:val="00A61DE2"/>
    <w:rsid w:val="00A66AED"/>
    <w:rsid w:val="00A7439A"/>
    <w:rsid w:val="00A84031"/>
    <w:rsid w:val="00A862F9"/>
    <w:rsid w:val="00A97256"/>
    <w:rsid w:val="00AB3C13"/>
    <w:rsid w:val="00AD23E0"/>
    <w:rsid w:val="00AD6261"/>
    <w:rsid w:val="00AD64F5"/>
    <w:rsid w:val="00AE3CB3"/>
    <w:rsid w:val="00B142EB"/>
    <w:rsid w:val="00B14316"/>
    <w:rsid w:val="00B1494C"/>
    <w:rsid w:val="00B23F96"/>
    <w:rsid w:val="00B371DA"/>
    <w:rsid w:val="00B375FE"/>
    <w:rsid w:val="00B41D79"/>
    <w:rsid w:val="00B50CE0"/>
    <w:rsid w:val="00B612CA"/>
    <w:rsid w:val="00B705EA"/>
    <w:rsid w:val="00B807E9"/>
    <w:rsid w:val="00B84E63"/>
    <w:rsid w:val="00BA4373"/>
    <w:rsid w:val="00BE170E"/>
    <w:rsid w:val="00C07462"/>
    <w:rsid w:val="00C12122"/>
    <w:rsid w:val="00C1772E"/>
    <w:rsid w:val="00C17FF7"/>
    <w:rsid w:val="00C34938"/>
    <w:rsid w:val="00C4197E"/>
    <w:rsid w:val="00C50E09"/>
    <w:rsid w:val="00C522A0"/>
    <w:rsid w:val="00C5283B"/>
    <w:rsid w:val="00C54A22"/>
    <w:rsid w:val="00C56CE5"/>
    <w:rsid w:val="00C859C9"/>
    <w:rsid w:val="00C875E9"/>
    <w:rsid w:val="00C94173"/>
    <w:rsid w:val="00C95C41"/>
    <w:rsid w:val="00CA11BD"/>
    <w:rsid w:val="00CA7CCB"/>
    <w:rsid w:val="00CB576A"/>
    <w:rsid w:val="00CC2A8C"/>
    <w:rsid w:val="00CC34D2"/>
    <w:rsid w:val="00CD5E71"/>
    <w:rsid w:val="00CE0E55"/>
    <w:rsid w:val="00CF5E5E"/>
    <w:rsid w:val="00CF72EE"/>
    <w:rsid w:val="00D06AE1"/>
    <w:rsid w:val="00D14F50"/>
    <w:rsid w:val="00D1509A"/>
    <w:rsid w:val="00D42CB6"/>
    <w:rsid w:val="00D54A2F"/>
    <w:rsid w:val="00D5642F"/>
    <w:rsid w:val="00D76B08"/>
    <w:rsid w:val="00DB53B4"/>
    <w:rsid w:val="00DC27CA"/>
    <w:rsid w:val="00DC5295"/>
    <w:rsid w:val="00DD034E"/>
    <w:rsid w:val="00DD1F91"/>
    <w:rsid w:val="00DD60C4"/>
    <w:rsid w:val="00DE7369"/>
    <w:rsid w:val="00DF6616"/>
    <w:rsid w:val="00DF6CA8"/>
    <w:rsid w:val="00E060BD"/>
    <w:rsid w:val="00E077D6"/>
    <w:rsid w:val="00E145F8"/>
    <w:rsid w:val="00E26A4D"/>
    <w:rsid w:val="00E646D6"/>
    <w:rsid w:val="00E80939"/>
    <w:rsid w:val="00E959B6"/>
    <w:rsid w:val="00EA2E8F"/>
    <w:rsid w:val="00EA49A7"/>
    <w:rsid w:val="00EA5A01"/>
    <w:rsid w:val="00EB5DE8"/>
    <w:rsid w:val="00EC0FA0"/>
    <w:rsid w:val="00EC254E"/>
    <w:rsid w:val="00EE456A"/>
    <w:rsid w:val="00F253F9"/>
    <w:rsid w:val="00F32200"/>
    <w:rsid w:val="00F3643F"/>
    <w:rsid w:val="00F369C2"/>
    <w:rsid w:val="00F66BA1"/>
    <w:rsid w:val="00F721A4"/>
    <w:rsid w:val="00F83009"/>
    <w:rsid w:val="00F86EDC"/>
    <w:rsid w:val="00F912AA"/>
    <w:rsid w:val="00FB1176"/>
    <w:rsid w:val="00FC11FD"/>
    <w:rsid w:val="00FC283E"/>
    <w:rsid w:val="00FD7F0D"/>
    <w:rsid w:val="00FF0077"/>
    <w:rsid w:val="00FF0C39"/>
    <w:rsid w:val="00FF1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
    <w:name w:val="Unresolved Mention"/>
    <w:basedOn w:val="DefaultParagraphFont"/>
    <w:uiPriority w:val="99"/>
    <w:semiHidden/>
    <w:unhideWhenUsed/>
    <w:rsid w:val="00D150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76590-1833-4E74-A284-E865130D9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Adriana.Anghel</cp:lastModifiedBy>
  <cp:revision>3</cp:revision>
  <cp:lastPrinted>2021-11-09T11:39:00Z</cp:lastPrinted>
  <dcterms:created xsi:type="dcterms:W3CDTF">2022-02-16T14:57:00Z</dcterms:created>
  <dcterms:modified xsi:type="dcterms:W3CDTF">2022-02-16T14:58:00Z</dcterms:modified>
</cp:coreProperties>
</file>