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A5F8" w14:textId="77777777" w:rsidR="00C31F1E" w:rsidRDefault="008B1E26">
      <w:pPr>
        <w:rPr>
          <w:rFonts w:ascii="Trebuchet MS" w:eastAsia="Trebuchet MS" w:hAnsi="Trebuchet MS" w:cs="Trebuchet MS"/>
          <w:sz w:val="24"/>
          <w:szCs w:val="24"/>
        </w:rPr>
      </w:pPr>
      <w:r>
        <w:rPr>
          <w:rFonts w:ascii="Trebuchet MS" w:eastAsia="Trebuchet MS" w:hAnsi="Trebuchet MS" w:cs="Trebuchet MS"/>
          <w:noProof/>
          <w:sz w:val="24"/>
          <w:szCs w:val="24"/>
        </w:rPr>
        <w:drawing>
          <wp:inline distT="0" distB="0" distL="0" distR="0" wp14:anchorId="7556515A" wp14:editId="0B7BEBD9">
            <wp:extent cx="5991225" cy="609600"/>
            <wp:effectExtent l="0" t="0" r="0" b="0"/>
            <wp:docPr id="2" name="image3.png" descr="C:\Users\User\AppData\Local\Microsoft\Windows\INetCache\Content.Word\Header-POCA-color.png"/>
            <wp:cNvGraphicFramePr/>
            <a:graphic xmlns:a="http://schemas.openxmlformats.org/drawingml/2006/main">
              <a:graphicData uri="http://schemas.openxmlformats.org/drawingml/2006/picture">
                <pic:pic xmlns:pic="http://schemas.openxmlformats.org/drawingml/2006/picture">
                  <pic:nvPicPr>
                    <pic:cNvPr id="0" name="image3.png" descr="C:\Users\User\AppData\Local\Microsoft\Windows\INetCache\Content.Word\Header-POCA-color.png"/>
                    <pic:cNvPicPr preferRelativeResize="0"/>
                  </pic:nvPicPr>
                  <pic:blipFill>
                    <a:blip r:embed="rId7"/>
                    <a:srcRect/>
                    <a:stretch>
                      <a:fillRect/>
                    </a:stretch>
                  </pic:blipFill>
                  <pic:spPr>
                    <a:xfrm>
                      <a:off x="0" y="0"/>
                      <a:ext cx="5991225" cy="609600"/>
                    </a:xfrm>
                    <a:prstGeom prst="rect">
                      <a:avLst/>
                    </a:prstGeom>
                    <a:ln/>
                  </pic:spPr>
                </pic:pic>
              </a:graphicData>
            </a:graphic>
          </wp:inline>
        </w:drawing>
      </w:r>
    </w:p>
    <w:p w14:paraId="428A0A83" w14:textId="77777777" w:rsidR="00C31F1E" w:rsidRDefault="00C31F1E">
      <w:pPr>
        <w:spacing w:line="240" w:lineRule="auto"/>
        <w:jc w:val="both"/>
        <w:rPr>
          <w:rFonts w:ascii="Trebuchet MS" w:eastAsia="Trebuchet MS" w:hAnsi="Trebuchet MS" w:cs="Trebuchet MS"/>
          <w:sz w:val="24"/>
          <w:szCs w:val="24"/>
        </w:rPr>
      </w:pPr>
    </w:p>
    <w:p w14:paraId="44C22140" w14:textId="77777777" w:rsidR="00C31F1E" w:rsidRDefault="008B1E26">
      <w:pPr>
        <w:spacing w:line="240" w:lineRule="auto"/>
        <w:jc w:val="both"/>
        <w:rPr>
          <w:rFonts w:ascii="Trebuchet MS" w:eastAsia="Trebuchet MS" w:hAnsi="Trebuchet MS" w:cs="Trebuchet MS"/>
          <w:sz w:val="24"/>
          <w:szCs w:val="24"/>
        </w:rPr>
      </w:pPr>
      <w:r>
        <w:rPr>
          <w:rFonts w:ascii="Trebuchet MS" w:eastAsia="Trebuchet MS" w:hAnsi="Trebuchet MS" w:cs="Trebuchet MS"/>
          <w:noProof/>
          <w:sz w:val="24"/>
          <w:szCs w:val="24"/>
        </w:rPr>
        <w:drawing>
          <wp:inline distT="0" distB="0" distL="0" distR="0" wp14:anchorId="2C13AAF1" wp14:editId="0991A17E">
            <wp:extent cx="6267450" cy="3524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267450" cy="352425"/>
                    </a:xfrm>
                    <a:prstGeom prst="rect">
                      <a:avLst/>
                    </a:prstGeom>
                    <a:ln/>
                  </pic:spPr>
                </pic:pic>
              </a:graphicData>
            </a:graphic>
          </wp:inline>
        </w:drawing>
      </w:r>
    </w:p>
    <w:p w14:paraId="3510F6AA" w14:textId="22C81AC7" w:rsidR="00C31F1E" w:rsidRDefault="00441D68">
      <w:pPr>
        <w:spacing w:line="240" w:lineRule="auto"/>
        <w:jc w:val="right"/>
        <w:rPr>
          <w:rFonts w:ascii="Trebuchet MS" w:eastAsia="Trebuchet MS" w:hAnsi="Trebuchet MS" w:cs="Trebuchet MS"/>
        </w:rPr>
      </w:pPr>
      <w:r>
        <w:rPr>
          <w:rFonts w:ascii="Trebuchet MS" w:eastAsia="Trebuchet MS" w:hAnsi="Trebuchet MS" w:cs="Trebuchet MS"/>
        </w:rPr>
        <w:t xml:space="preserve">7 noiembrie </w:t>
      </w:r>
      <w:r w:rsidR="00774A3D">
        <w:rPr>
          <w:rFonts w:ascii="Trebuchet MS" w:eastAsia="Trebuchet MS" w:hAnsi="Trebuchet MS" w:cs="Trebuchet MS"/>
        </w:rPr>
        <w:t>2022</w:t>
      </w:r>
    </w:p>
    <w:p w14:paraId="43322870" w14:textId="0E8C4259" w:rsidR="00441D68" w:rsidRDefault="008B1E26" w:rsidP="00441D68">
      <w:pPr>
        <w:spacing w:line="360" w:lineRule="auto"/>
        <w:jc w:val="both"/>
        <w:rPr>
          <w:rFonts w:ascii="Trebuchet MS" w:eastAsia="Trebuchet MS" w:hAnsi="Trebuchet MS" w:cs="Trebuchet MS"/>
          <w:b/>
        </w:rPr>
      </w:pPr>
      <w:r>
        <w:rPr>
          <w:rFonts w:ascii="Trebuchet MS" w:eastAsia="Trebuchet MS" w:hAnsi="Trebuchet MS" w:cs="Trebuchet MS"/>
          <w:b/>
        </w:rPr>
        <w:t xml:space="preserve">REF: </w:t>
      </w:r>
      <w:bookmarkStart w:id="0" w:name="_Hlk115430137"/>
      <w:r w:rsidR="00774A3D">
        <w:rPr>
          <w:rFonts w:ascii="Trebuchet MS" w:eastAsia="Trebuchet MS" w:hAnsi="Trebuchet MS" w:cs="Trebuchet MS"/>
          <w:b/>
        </w:rPr>
        <w:t xml:space="preserve">Hărțile </w:t>
      </w:r>
      <w:r w:rsidR="00161EBC" w:rsidRPr="00161EBC">
        <w:rPr>
          <w:rFonts w:ascii="Trebuchet MS" w:eastAsia="Trebuchet MS" w:hAnsi="Trebuchet MS" w:cs="Trebuchet MS"/>
          <w:b/>
        </w:rPr>
        <w:t>de Hazard și Risc la Inundații (HHRI)</w:t>
      </w:r>
      <w:r w:rsidR="00B14EBF">
        <w:rPr>
          <w:rFonts w:ascii="Trebuchet MS" w:eastAsia="Trebuchet MS" w:hAnsi="Trebuchet MS" w:cs="Trebuchet MS"/>
          <w:b/>
        </w:rPr>
        <w:t xml:space="preserve"> actualizate</w:t>
      </w:r>
      <w:r w:rsidR="00161EBC" w:rsidRPr="00161EBC">
        <w:rPr>
          <w:rFonts w:ascii="Trebuchet MS" w:eastAsia="Trebuchet MS" w:hAnsi="Trebuchet MS" w:cs="Trebuchet MS"/>
          <w:b/>
        </w:rPr>
        <w:t>, elaborate în cadrul proiectului RO-FLOODS</w:t>
      </w:r>
      <w:bookmarkEnd w:id="0"/>
      <w:r w:rsidR="00441D68">
        <w:rPr>
          <w:rFonts w:ascii="Trebuchet MS" w:eastAsia="Trebuchet MS" w:hAnsi="Trebuchet MS" w:cs="Trebuchet MS"/>
          <w:b/>
        </w:rPr>
        <w:t xml:space="preserve"> sunt accesibile publicului larg pe </w:t>
      </w:r>
      <w:hyperlink r:id="rId9" w:history="1">
        <w:r w:rsidR="00441D68" w:rsidRPr="00823E1A">
          <w:rPr>
            <w:rStyle w:val="Hyperlink"/>
            <w:rFonts w:ascii="Trebuchet MS" w:eastAsia="Trebuchet MS" w:hAnsi="Trebuchet MS" w:cs="Trebuchet MS"/>
            <w:b/>
          </w:rPr>
          <w:t>www.inundatii.ro</w:t>
        </w:r>
      </w:hyperlink>
      <w:r w:rsidR="00441D68">
        <w:rPr>
          <w:rFonts w:ascii="Trebuchet MS" w:eastAsia="Trebuchet MS" w:hAnsi="Trebuchet MS" w:cs="Trebuchet MS"/>
          <w:b/>
        </w:rPr>
        <w:t xml:space="preserve"> </w:t>
      </w:r>
    </w:p>
    <w:p w14:paraId="35D9FA4B" w14:textId="77777777" w:rsidR="003D69C8" w:rsidRPr="00441D68" w:rsidRDefault="003D69C8" w:rsidP="00441D68">
      <w:pPr>
        <w:spacing w:line="360" w:lineRule="auto"/>
        <w:jc w:val="both"/>
        <w:rPr>
          <w:rFonts w:ascii="Trebuchet MS" w:eastAsia="Trebuchet MS" w:hAnsi="Trebuchet MS" w:cs="Trebuchet MS"/>
          <w:b/>
        </w:rPr>
      </w:pPr>
    </w:p>
    <w:p w14:paraId="643A4883" w14:textId="65AF49A6" w:rsidR="00441D68" w:rsidRPr="002250D2" w:rsidRDefault="00A264E0" w:rsidP="00AC09EF">
      <w:pPr>
        <w:spacing w:line="240" w:lineRule="auto"/>
        <w:jc w:val="both"/>
        <w:rPr>
          <w:rFonts w:ascii="Trebuchet MS" w:eastAsia="Trebuchet MS" w:hAnsi="Trebuchet MS" w:cs="Trebuchet MS"/>
          <w:bCs/>
        </w:rPr>
      </w:pPr>
      <w:r w:rsidRPr="00A264E0">
        <w:rPr>
          <w:rFonts w:ascii="Trebuchet MS" w:eastAsia="Trebuchet MS" w:hAnsi="Trebuchet MS" w:cs="Trebuchet MS"/>
          <w:bCs/>
        </w:rPr>
        <w:t>Ministerul</w:t>
      </w:r>
      <w:r>
        <w:rPr>
          <w:rFonts w:ascii="Trebuchet MS" w:eastAsia="Trebuchet MS" w:hAnsi="Trebuchet MS" w:cs="Trebuchet MS"/>
          <w:bCs/>
        </w:rPr>
        <w:t xml:space="preserve"> </w:t>
      </w:r>
      <w:r w:rsidRPr="00A264E0">
        <w:rPr>
          <w:rFonts w:ascii="Trebuchet MS" w:eastAsia="Trebuchet MS" w:hAnsi="Trebuchet MS" w:cs="Trebuchet MS"/>
          <w:bCs/>
        </w:rPr>
        <w:t xml:space="preserve">Mediului, Apelor și Pădurilor </w:t>
      </w:r>
      <w:r>
        <w:rPr>
          <w:rFonts w:ascii="Trebuchet MS" w:eastAsia="Trebuchet MS" w:hAnsi="Trebuchet MS" w:cs="Trebuchet MS"/>
          <w:bCs/>
        </w:rPr>
        <w:t xml:space="preserve">a prezentat astăzi </w:t>
      </w:r>
      <w:r w:rsidR="00441D68" w:rsidRPr="002250D2">
        <w:rPr>
          <w:rFonts w:ascii="Trebuchet MS" w:eastAsia="Trebuchet MS" w:hAnsi="Trebuchet MS" w:cs="Trebuchet MS"/>
          <w:bCs/>
        </w:rPr>
        <w:t xml:space="preserve">Hărțile de Hazard și de Risc la Inundații </w:t>
      </w:r>
      <w:r w:rsidR="00441D68" w:rsidRPr="0028404E">
        <w:rPr>
          <w:rFonts w:ascii="Trebuchet MS" w:eastAsia="Trebuchet MS" w:hAnsi="Trebuchet MS" w:cs="Trebuchet MS"/>
          <w:bCs/>
        </w:rPr>
        <w:t>actualizate</w:t>
      </w:r>
      <w:r w:rsidR="00441D68" w:rsidRPr="002250D2">
        <w:rPr>
          <w:rFonts w:ascii="Trebuchet MS" w:eastAsia="Trebuchet MS" w:hAnsi="Trebuchet MS" w:cs="Trebuchet MS"/>
          <w:bCs/>
        </w:rPr>
        <w:t xml:space="preserve"> în cadrul proiectului RO-FLOODS</w:t>
      </w:r>
      <w:r>
        <w:rPr>
          <w:rFonts w:ascii="Trebuchet MS" w:eastAsia="Trebuchet MS" w:hAnsi="Trebuchet MS" w:cs="Trebuchet MS"/>
          <w:bCs/>
        </w:rPr>
        <w:t>.</w:t>
      </w:r>
    </w:p>
    <w:p w14:paraId="0045A3BE" w14:textId="3F82E679" w:rsidR="0057364B" w:rsidRDefault="00441D68" w:rsidP="00AC09EF">
      <w:pPr>
        <w:spacing w:line="240" w:lineRule="auto"/>
        <w:jc w:val="both"/>
        <w:rPr>
          <w:rFonts w:ascii="Trebuchet MS" w:eastAsia="Trebuchet MS" w:hAnsi="Trebuchet MS" w:cs="Trebuchet MS"/>
          <w:bCs/>
        </w:rPr>
      </w:pPr>
      <w:r w:rsidRPr="002250D2">
        <w:rPr>
          <w:rFonts w:ascii="Trebuchet MS" w:eastAsia="Trebuchet MS" w:hAnsi="Trebuchet MS" w:cs="Trebuchet MS"/>
          <w:bCs/>
        </w:rPr>
        <w:t>Acest</w:t>
      </w:r>
      <w:r w:rsidR="00A264E0">
        <w:rPr>
          <w:rFonts w:ascii="Trebuchet MS" w:eastAsia="Trebuchet MS" w:hAnsi="Trebuchet MS" w:cs="Trebuchet MS"/>
          <w:bCs/>
        </w:rPr>
        <w:t xml:space="preserve">ea </w:t>
      </w:r>
      <w:r w:rsidRPr="002250D2">
        <w:rPr>
          <w:rFonts w:ascii="Trebuchet MS" w:eastAsia="Trebuchet MS" w:hAnsi="Trebuchet MS" w:cs="Trebuchet MS"/>
          <w:bCs/>
        </w:rPr>
        <w:t>au fost realizate</w:t>
      </w:r>
      <w:r w:rsidR="0057364B">
        <w:rPr>
          <w:rFonts w:ascii="Trebuchet MS" w:eastAsia="Trebuchet MS" w:hAnsi="Trebuchet MS" w:cs="Trebuchet MS"/>
          <w:bCs/>
        </w:rPr>
        <w:t xml:space="preserve">, </w:t>
      </w:r>
      <w:r w:rsidR="0057364B" w:rsidRPr="0057364B">
        <w:rPr>
          <w:rFonts w:ascii="Trebuchet MS" w:eastAsia="Trebuchet MS" w:hAnsi="Trebuchet MS" w:cs="Trebuchet MS"/>
          <w:bCs/>
        </w:rPr>
        <w:t>cu sprijinul Băncii Mondiale</w:t>
      </w:r>
      <w:r w:rsidR="0057364B">
        <w:rPr>
          <w:rFonts w:ascii="Trebuchet MS" w:eastAsia="Trebuchet MS" w:hAnsi="Trebuchet MS" w:cs="Trebuchet MS"/>
          <w:bCs/>
        </w:rPr>
        <w:t>,</w:t>
      </w:r>
      <w:r w:rsidRPr="002250D2">
        <w:rPr>
          <w:rFonts w:ascii="Trebuchet MS" w:eastAsia="Trebuchet MS" w:hAnsi="Trebuchet MS" w:cs="Trebuchet MS"/>
          <w:bCs/>
        </w:rPr>
        <w:t xml:space="preserve"> în cadrul proiectului </w:t>
      </w:r>
      <w:r w:rsidRPr="00142DAC">
        <w:rPr>
          <w:rFonts w:ascii="Trebuchet MS" w:eastAsia="Trebuchet MS" w:hAnsi="Trebuchet MS" w:cs="Trebuchet MS"/>
          <w:b/>
          <w:i/>
          <w:iCs/>
        </w:rPr>
        <w:t>„Întărirea capacității autorității publice centrale în domeniul apelor în scopul implementării etapelor a 2-a și a 3-a ale Ciclului II al Directivei Inundații - RO-FLOODS”</w:t>
      </w:r>
      <w:r w:rsidRPr="002250D2">
        <w:rPr>
          <w:rFonts w:ascii="Trebuchet MS" w:eastAsia="Trebuchet MS" w:hAnsi="Trebuchet MS" w:cs="Trebuchet MS"/>
          <w:bCs/>
        </w:rPr>
        <w:t>, cod SIPOCA 734 / cod MySMIS 130033 implementat de Ministerul Mediului, Apelor și Pădurilor, în calitate de lider de proiect și Administrația Națională „Apele Române”, în calitate de partener</w:t>
      </w:r>
      <w:r w:rsidR="0057364B">
        <w:rPr>
          <w:rFonts w:ascii="Trebuchet MS" w:eastAsia="Trebuchet MS" w:hAnsi="Trebuchet MS" w:cs="Trebuchet MS"/>
          <w:bCs/>
        </w:rPr>
        <w:t>.</w:t>
      </w:r>
      <w:r w:rsidRPr="002250D2">
        <w:rPr>
          <w:rFonts w:ascii="Trebuchet MS" w:eastAsia="Trebuchet MS" w:hAnsi="Trebuchet MS" w:cs="Trebuchet MS"/>
          <w:bCs/>
        </w:rPr>
        <w:t xml:space="preserve"> </w:t>
      </w:r>
    </w:p>
    <w:p w14:paraId="2361F233" w14:textId="5D0A29BC" w:rsidR="00441D68" w:rsidRDefault="0057364B" w:rsidP="00AC09EF">
      <w:pPr>
        <w:spacing w:line="240" w:lineRule="auto"/>
        <w:jc w:val="both"/>
        <w:rPr>
          <w:rFonts w:ascii="Trebuchet MS" w:eastAsia="Trebuchet MS" w:hAnsi="Trebuchet MS" w:cs="Trebuchet MS"/>
          <w:bCs/>
        </w:rPr>
      </w:pPr>
      <w:r w:rsidRPr="0057364B">
        <w:rPr>
          <w:rFonts w:ascii="Trebuchet MS" w:eastAsia="Trebuchet MS" w:hAnsi="Trebuchet MS" w:cs="Trebuchet MS"/>
          <w:bCs/>
        </w:rPr>
        <w:t>La evenimentul de astăzi au fo</w:t>
      </w:r>
      <w:r w:rsidR="00561B09">
        <w:rPr>
          <w:rFonts w:ascii="Trebuchet MS" w:eastAsia="Trebuchet MS" w:hAnsi="Trebuchet MS" w:cs="Trebuchet MS"/>
          <w:bCs/>
        </w:rPr>
        <w:t>s</w:t>
      </w:r>
      <w:r w:rsidRPr="0057364B">
        <w:rPr>
          <w:rFonts w:ascii="Trebuchet MS" w:eastAsia="Trebuchet MS" w:hAnsi="Trebuchet MS" w:cs="Trebuchet MS"/>
          <w:bCs/>
        </w:rPr>
        <w:t>t prezenți</w:t>
      </w:r>
      <w:r w:rsidR="00162416">
        <w:rPr>
          <w:rFonts w:ascii="Trebuchet MS" w:eastAsia="Trebuchet MS" w:hAnsi="Trebuchet MS" w:cs="Trebuchet MS"/>
          <w:bCs/>
        </w:rPr>
        <w:t xml:space="preserve">, alături de ministrul </w:t>
      </w:r>
      <w:r w:rsidRPr="0057364B">
        <w:rPr>
          <w:rFonts w:ascii="Trebuchet MS" w:eastAsia="Trebuchet MS" w:hAnsi="Trebuchet MS" w:cs="Trebuchet MS"/>
          <w:bCs/>
        </w:rPr>
        <w:t>Barna TÁNCZOS</w:t>
      </w:r>
      <w:r w:rsidR="00162416">
        <w:rPr>
          <w:rFonts w:ascii="Trebuchet MS" w:eastAsia="Trebuchet MS" w:hAnsi="Trebuchet MS" w:cs="Trebuchet MS"/>
          <w:bCs/>
        </w:rPr>
        <w:t xml:space="preserve">, și experți din cadrul Ministerului Mediului, Apelor și Pădurilor, ai </w:t>
      </w:r>
      <w:r w:rsidRPr="0057364B">
        <w:rPr>
          <w:rFonts w:ascii="Trebuchet MS" w:eastAsia="Trebuchet MS" w:hAnsi="Trebuchet MS" w:cs="Trebuchet MS"/>
          <w:bCs/>
        </w:rPr>
        <w:t>Administrației Naționale „Apele Române”</w:t>
      </w:r>
      <w:r w:rsidR="00162416">
        <w:rPr>
          <w:rFonts w:ascii="Trebuchet MS" w:eastAsia="Trebuchet MS" w:hAnsi="Trebuchet MS" w:cs="Trebuchet MS"/>
          <w:bCs/>
        </w:rPr>
        <w:t xml:space="preserve"> și ai </w:t>
      </w:r>
      <w:r w:rsidRPr="0057364B">
        <w:rPr>
          <w:rFonts w:ascii="Trebuchet MS" w:eastAsia="Trebuchet MS" w:hAnsi="Trebuchet MS" w:cs="Trebuchet MS"/>
          <w:bCs/>
        </w:rPr>
        <w:t>Băncii Mondiale</w:t>
      </w:r>
      <w:r w:rsidR="00162416">
        <w:rPr>
          <w:rFonts w:ascii="Trebuchet MS" w:eastAsia="Trebuchet MS" w:hAnsi="Trebuchet MS" w:cs="Trebuchet MS"/>
          <w:bCs/>
        </w:rPr>
        <w:t>.</w:t>
      </w:r>
    </w:p>
    <w:p w14:paraId="02D211E4" w14:textId="3FF03F27" w:rsidR="002250D2" w:rsidRDefault="002250D2" w:rsidP="00AC09EF">
      <w:pPr>
        <w:spacing w:line="240" w:lineRule="auto"/>
        <w:jc w:val="both"/>
        <w:rPr>
          <w:rFonts w:ascii="Trebuchet MS" w:eastAsia="Trebuchet MS" w:hAnsi="Trebuchet MS" w:cs="Trebuchet MS"/>
          <w:bCs/>
        </w:rPr>
      </w:pPr>
      <w:r w:rsidRPr="00162416">
        <w:rPr>
          <w:rFonts w:ascii="Trebuchet MS" w:eastAsia="Trebuchet MS" w:hAnsi="Trebuchet MS" w:cs="Trebuchet MS"/>
          <w:bCs/>
          <w:i/>
          <w:iCs/>
        </w:rPr>
        <w:t>”</w:t>
      </w:r>
      <w:r w:rsidR="0028404E" w:rsidRPr="00162416">
        <w:rPr>
          <w:rFonts w:ascii="Trebuchet MS" w:eastAsia="Trebuchet MS" w:hAnsi="Trebuchet MS" w:cs="Trebuchet MS"/>
          <w:bCs/>
          <w:i/>
          <w:iCs/>
        </w:rPr>
        <w:t>Schimbările climatice sunt într-o continuă dinamică și de aceea trebuie să fim pregătiți pentru toate efectele lor. Apa este o resurs</w:t>
      </w:r>
      <w:r w:rsidR="00162416" w:rsidRPr="00162416">
        <w:rPr>
          <w:rFonts w:ascii="Trebuchet MS" w:eastAsia="Trebuchet MS" w:hAnsi="Trebuchet MS" w:cs="Trebuchet MS"/>
          <w:bCs/>
          <w:i/>
          <w:iCs/>
        </w:rPr>
        <w:t>ă</w:t>
      </w:r>
      <w:r w:rsidR="0028404E" w:rsidRPr="00162416">
        <w:rPr>
          <w:rFonts w:ascii="Trebuchet MS" w:eastAsia="Trebuchet MS" w:hAnsi="Trebuchet MS" w:cs="Trebuchet MS"/>
          <w:bCs/>
          <w:i/>
          <w:iCs/>
        </w:rPr>
        <w:t xml:space="preserve"> vitală pentru populație dar, în același timp, poate fi și un risc pentru comunități atunci când se produc inundații necontrolate. H</w:t>
      </w:r>
      <w:r w:rsidR="00162416" w:rsidRPr="00162416">
        <w:rPr>
          <w:rFonts w:ascii="Trebuchet MS" w:eastAsia="Trebuchet MS" w:hAnsi="Trebuchet MS" w:cs="Trebuchet MS"/>
          <w:bCs/>
          <w:i/>
          <w:iCs/>
        </w:rPr>
        <w:t>ă</w:t>
      </w:r>
      <w:r w:rsidR="0028404E" w:rsidRPr="00162416">
        <w:rPr>
          <w:rFonts w:ascii="Trebuchet MS" w:eastAsia="Trebuchet MS" w:hAnsi="Trebuchet MS" w:cs="Trebuchet MS"/>
          <w:bCs/>
          <w:i/>
          <w:iCs/>
        </w:rPr>
        <w:t xml:space="preserve">rțile de hazard și de risc la inundații nu vor impiedica  producerea acestor fenomene, însă vor </w:t>
      </w:r>
      <w:r w:rsidR="000C007E">
        <w:rPr>
          <w:rFonts w:ascii="Trebuchet MS" w:eastAsia="Trebuchet MS" w:hAnsi="Trebuchet MS" w:cs="Trebuchet MS"/>
          <w:bCs/>
          <w:i/>
          <w:iCs/>
        </w:rPr>
        <w:t>putea ajuta la elaborarea unor planuri de management care s</w:t>
      </w:r>
      <w:r w:rsidR="00493E94">
        <w:rPr>
          <w:rFonts w:ascii="Trebuchet MS" w:eastAsia="Trebuchet MS" w:hAnsi="Trebuchet MS" w:cs="Trebuchet MS"/>
          <w:bCs/>
          <w:i/>
          <w:iCs/>
        </w:rPr>
        <w:t>ă</w:t>
      </w:r>
      <w:r w:rsidR="000C007E">
        <w:rPr>
          <w:rFonts w:ascii="Trebuchet MS" w:eastAsia="Trebuchet MS" w:hAnsi="Trebuchet MS" w:cs="Trebuchet MS"/>
          <w:bCs/>
          <w:i/>
          <w:iCs/>
        </w:rPr>
        <w:t xml:space="preserve"> prevină sau să reducă </w:t>
      </w:r>
      <w:r w:rsidR="0028404E" w:rsidRPr="00162416">
        <w:rPr>
          <w:rFonts w:ascii="Trebuchet MS" w:eastAsia="Trebuchet MS" w:hAnsi="Trebuchet MS" w:cs="Trebuchet MS"/>
          <w:bCs/>
          <w:i/>
          <w:iCs/>
        </w:rPr>
        <w:t>efectele</w:t>
      </w:r>
      <w:r w:rsidR="00162416" w:rsidRPr="00162416">
        <w:rPr>
          <w:rFonts w:ascii="Trebuchet MS" w:eastAsia="Trebuchet MS" w:hAnsi="Trebuchet MS" w:cs="Trebuchet MS"/>
          <w:bCs/>
          <w:i/>
          <w:iCs/>
        </w:rPr>
        <w:t xml:space="preserve"> acestor</w:t>
      </w:r>
      <w:r w:rsidR="00493E94">
        <w:rPr>
          <w:rFonts w:ascii="Trebuchet MS" w:eastAsia="Trebuchet MS" w:hAnsi="Trebuchet MS" w:cs="Trebuchet MS"/>
          <w:bCs/>
          <w:i/>
          <w:iCs/>
        </w:rPr>
        <w:t xml:space="preserve"> fenomene</w:t>
      </w:r>
      <w:r w:rsidR="0028404E" w:rsidRPr="00162416">
        <w:rPr>
          <w:rFonts w:ascii="Trebuchet MS" w:eastAsia="Trebuchet MS" w:hAnsi="Trebuchet MS" w:cs="Trebuchet MS"/>
          <w:bCs/>
          <w:i/>
          <w:iCs/>
        </w:rPr>
        <w:t xml:space="preserve">. </w:t>
      </w:r>
      <w:r w:rsidR="000C007E">
        <w:rPr>
          <w:rFonts w:ascii="Trebuchet MS" w:eastAsia="Trebuchet MS" w:hAnsi="Trebuchet MS" w:cs="Trebuchet MS"/>
          <w:bCs/>
          <w:i/>
          <w:iCs/>
        </w:rPr>
        <w:t>Practic, h</w:t>
      </w:r>
      <w:r w:rsidR="00162416" w:rsidRPr="00162416">
        <w:rPr>
          <w:rFonts w:ascii="Trebuchet MS" w:eastAsia="Trebuchet MS" w:hAnsi="Trebuchet MS" w:cs="Trebuchet MS"/>
          <w:bCs/>
          <w:i/>
          <w:iCs/>
        </w:rPr>
        <w:t xml:space="preserve">ărțile </w:t>
      </w:r>
      <w:r w:rsidR="0028404E" w:rsidRPr="00162416">
        <w:rPr>
          <w:rFonts w:ascii="Trebuchet MS" w:eastAsia="Trebuchet MS" w:hAnsi="Trebuchet MS" w:cs="Trebuchet MS"/>
          <w:bCs/>
          <w:i/>
          <w:iCs/>
        </w:rPr>
        <w:t>sunt</w:t>
      </w:r>
      <w:r w:rsidR="00162416" w:rsidRPr="00162416">
        <w:rPr>
          <w:rFonts w:ascii="Trebuchet MS" w:eastAsia="Trebuchet MS" w:hAnsi="Trebuchet MS" w:cs="Trebuchet MS"/>
          <w:bCs/>
          <w:i/>
          <w:iCs/>
        </w:rPr>
        <w:t>,</w:t>
      </w:r>
      <w:r w:rsidR="0028404E" w:rsidRPr="00162416">
        <w:rPr>
          <w:rFonts w:ascii="Trebuchet MS" w:eastAsia="Trebuchet MS" w:hAnsi="Trebuchet MS" w:cs="Trebuchet MS"/>
          <w:bCs/>
          <w:i/>
          <w:iCs/>
        </w:rPr>
        <w:t xml:space="preserve"> în sine</w:t>
      </w:r>
      <w:r w:rsidR="00162416" w:rsidRPr="00162416">
        <w:rPr>
          <w:rFonts w:ascii="Trebuchet MS" w:eastAsia="Trebuchet MS" w:hAnsi="Trebuchet MS" w:cs="Trebuchet MS"/>
          <w:bCs/>
          <w:i/>
          <w:iCs/>
        </w:rPr>
        <w:t>,</w:t>
      </w:r>
      <w:r w:rsidR="0028404E" w:rsidRPr="00162416">
        <w:rPr>
          <w:rFonts w:ascii="Trebuchet MS" w:eastAsia="Trebuchet MS" w:hAnsi="Trebuchet MS" w:cs="Trebuchet MS"/>
          <w:bCs/>
          <w:i/>
          <w:iCs/>
        </w:rPr>
        <w:t xml:space="preserve"> niște instrumente care vor ghida autoritățile atât în ceea ce privește investițiile în lucrări de apărare împotriva inundațiilor dar, mai ales, în planificarea urbană care va ține cont de zonele cu risc la inundații. Toate statele europene își actualizează aceste hărți, mai ales că inundațiile au început să apară și în zone în care nu au fost niciodată înregistrate astfel de fenomene. Hărțile </w:t>
      </w:r>
      <w:r w:rsidR="00162416" w:rsidRPr="00162416">
        <w:rPr>
          <w:rFonts w:ascii="Trebuchet MS" w:eastAsia="Trebuchet MS" w:hAnsi="Trebuchet MS" w:cs="Trebuchet MS"/>
          <w:bCs/>
          <w:i/>
          <w:iCs/>
        </w:rPr>
        <w:t>R</w:t>
      </w:r>
      <w:r w:rsidR="0028404E" w:rsidRPr="00162416">
        <w:rPr>
          <w:rFonts w:ascii="Trebuchet MS" w:eastAsia="Trebuchet MS" w:hAnsi="Trebuchet MS" w:cs="Trebuchet MS"/>
          <w:bCs/>
          <w:i/>
          <w:iCs/>
        </w:rPr>
        <w:t xml:space="preserve">omâniei au fost </w:t>
      </w:r>
      <w:r w:rsidR="00162416" w:rsidRPr="00162416">
        <w:rPr>
          <w:rFonts w:ascii="Trebuchet MS" w:eastAsia="Trebuchet MS" w:hAnsi="Trebuchet MS" w:cs="Trebuchet MS"/>
          <w:bCs/>
          <w:i/>
          <w:iCs/>
        </w:rPr>
        <w:t>e</w:t>
      </w:r>
      <w:r w:rsidR="0028404E" w:rsidRPr="00162416">
        <w:rPr>
          <w:rFonts w:ascii="Trebuchet MS" w:eastAsia="Trebuchet MS" w:hAnsi="Trebuchet MS" w:cs="Trebuchet MS"/>
          <w:bCs/>
          <w:i/>
          <w:iCs/>
        </w:rPr>
        <w:t>laborate de 200 de speciali</w:t>
      </w:r>
      <w:r w:rsidR="00162416" w:rsidRPr="00162416">
        <w:rPr>
          <w:rFonts w:ascii="Trebuchet MS" w:eastAsia="Trebuchet MS" w:hAnsi="Trebuchet MS" w:cs="Trebuchet MS"/>
          <w:bCs/>
          <w:i/>
          <w:iCs/>
        </w:rPr>
        <w:t>ș</w:t>
      </w:r>
      <w:r w:rsidR="0028404E" w:rsidRPr="00162416">
        <w:rPr>
          <w:rFonts w:ascii="Trebuchet MS" w:eastAsia="Trebuchet MS" w:hAnsi="Trebuchet MS" w:cs="Trebuchet MS"/>
          <w:bCs/>
          <w:i/>
          <w:iCs/>
        </w:rPr>
        <w:t xml:space="preserve">ti </w:t>
      </w:r>
      <w:r w:rsidR="00615B05">
        <w:rPr>
          <w:rFonts w:ascii="Trebuchet MS" w:eastAsia="Trebuchet MS" w:hAnsi="Trebuchet MS" w:cs="Trebuchet MS"/>
          <w:bCs/>
          <w:i/>
          <w:iCs/>
        </w:rPr>
        <w:t xml:space="preserve">naționali și </w:t>
      </w:r>
      <w:r w:rsidR="0028404E" w:rsidRPr="00162416">
        <w:rPr>
          <w:rFonts w:ascii="Trebuchet MS" w:eastAsia="Trebuchet MS" w:hAnsi="Trebuchet MS" w:cs="Trebuchet MS"/>
          <w:bCs/>
          <w:i/>
          <w:iCs/>
        </w:rPr>
        <w:t>internaționali și sunt pasul cel mai important spre a avea, de la anul, și planuri de management care să ajute la reducerea riscului la inundații în zonele expuse din țara noastră</w:t>
      </w:r>
      <w:r w:rsidRPr="002250D2">
        <w:rPr>
          <w:rFonts w:ascii="Trebuchet MS" w:eastAsia="Trebuchet MS" w:hAnsi="Trebuchet MS" w:cs="Trebuchet MS"/>
          <w:bCs/>
        </w:rPr>
        <w:t>”</w:t>
      </w:r>
      <w:r w:rsidR="0028404E">
        <w:rPr>
          <w:rFonts w:ascii="Trebuchet MS" w:eastAsia="Trebuchet MS" w:hAnsi="Trebuchet MS" w:cs="Trebuchet MS"/>
          <w:bCs/>
        </w:rPr>
        <w:t xml:space="preserve">, </w:t>
      </w:r>
      <w:r w:rsidRPr="002250D2">
        <w:rPr>
          <w:rFonts w:ascii="Trebuchet MS" w:eastAsia="Trebuchet MS" w:hAnsi="Trebuchet MS" w:cs="Trebuchet MS"/>
          <w:bCs/>
        </w:rPr>
        <w:t xml:space="preserve"> a declarat Barna TÁNCZOS, ministrul Mediului, Apelor și Pădurilor.</w:t>
      </w:r>
    </w:p>
    <w:p w14:paraId="1DE9B870" w14:textId="6A63C2CA" w:rsidR="0057364B" w:rsidRDefault="00561B09" w:rsidP="00AC09EF">
      <w:pPr>
        <w:spacing w:line="240" w:lineRule="auto"/>
        <w:jc w:val="both"/>
        <w:rPr>
          <w:rFonts w:ascii="Trebuchet MS" w:eastAsia="Trebuchet MS" w:hAnsi="Trebuchet MS" w:cs="Trebuchet MS"/>
          <w:bCs/>
        </w:rPr>
      </w:pPr>
      <w:r>
        <w:rPr>
          <w:rFonts w:ascii="Trebuchet MS" w:eastAsia="Trebuchet MS" w:hAnsi="Trebuchet MS" w:cs="Trebuchet MS"/>
          <w:bCs/>
        </w:rPr>
        <w:t xml:space="preserve">Hărțile de hazard și de </w:t>
      </w:r>
      <w:r w:rsidR="00615B05">
        <w:rPr>
          <w:rFonts w:ascii="Trebuchet MS" w:eastAsia="Trebuchet MS" w:hAnsi="Trebuchet MS" w:cs="Trebuchet MS"/>
          <w:bCs/>
        </w:rPr>
        <w:t>R</w:t>
      </w:r>
      <w:r>
        <w:rPr>
          <w:rFonts w:ascii="Trebuchet MS" w:eastAsia="Trebuchet MS" w:hAnsi="Trebuchet MS" w:cs="Trebuchet MS"/>
          <w:bCs/>
        </w:rPr>
        <w:t>isc la Inunda</w:t>
      </w:r>
      <w:r w:rsidR="00615B05">
        <w:rPr>
          <w:rFonts w:ascii="Trebuchet MS" w:eastAsia="Trebuchet MS" w:hAnsi="Trebuchet MS" w:cs="Trebuchet MS"/>
          <w:bCs/>
        </w:rPr>
        <w:t>ț</w:t>
      </w:r>
      <w:r>
        <w:rPr>
          <w:rFonts w:ascii="Trebuchet MS" w:eastAsia="Trebuchet MS" w:hAnsi="Trebuchet MS" w:cs="Trebuchet MS"/>
          <w:bCs/>
        </w:rPr>
        <w:t>ii au fost elaborate pe parcursul a doi ani</w:t>
      </w:r>
      <w:r w:rsidR="00615B05">
        <w:rPr>
          <w:rFonts w:ascii="Trebuchet MS" w:eastAsia="Trebuchet MS" w:hAnsi="Trebuchet MS" w:cs="Trebuchet MS"/>
          <w:bCs/>
        </w:rPr>
        <w:t>,</w:t>
      </w:r>
      <w:r>
        <w:rPr>
          <w:rFonts w:ascii="Trebuchet MS" w:eastAsia="Trebuchet MS" w:hAnsi="Trebuchet MS" w:cs="Trebuchet MS"/>
          <w:bCs/>
        </w:rPr>
        <w:t xml:space="preserve"> iar în luna septembrie 2022 au fost avizate de </w:t>
      </w:r>
      <w:r w:rsidR="0057364B" w:rsidRPr="0057364B">
        <w:rPr>
          <w:rFonts w:ascii="Trebuchet MS" w:eastAsia="Trebuchet MS" w:hAnsi="Trebuchet MS" w:cs="Trebuchet MS"/>
          <w:bCs/>
        </w:rPr>
        <w:t>Comitetele de Bazin de la nivelul celor 11 Administrații Bazinale de Apă și înaintate către Comisia Europeană.</w:t>
      </w:r>
    </w:p>
    <w:p w14:paraId="6CCFE091" w14:textId="6A449152" w:rsidR="003153AF" w:rsidRPr="002250D2" w:rsidRDefault="00561B09" w:rsidP="00AC09EF">
      <w:pPr>
        <w:spacing w:line="240" w:lineRule="auto"/>
        <w:jc w:val="both"/>
        <w:rPr>
          <w:rFonts w:ascii="Trebuchet MS" w:eastAsia="Trebuchet MS" w:hAnsi="Trebuchet MS" w:cs="Trebuchet MS"/>
          <w:bCs/>
        </w:rPr>
      </w:pPr>
      <w:r>
        <w:rPr>
          <w:rFonts w:ascii="Trebuchet MS" w:eastAsia="Trebuchet MS" w:hAnsi="Trebuchet MS" w:cs="Trebuchet MS"/>
          <w:bCs/>
        </w:rPr>
        <w:t>V</w:t>
      </w:r>
      <w:r w:rsidR="003153AF" w:rsidRPr="002250D2">
        <w:rPr>
          <w:rFonts w:ascii="Trebuchet MS" w:eastAsia="Trebuchet MS" w:hAnsi="Trebuchet MS" w:cs="Trebuchet MS"/>
          <w:bCs/>
        </w:rPr>
        <w:t>ersiunile preliminare ale hărților</w:t>
      </w:r>
      <w:r w:rsidR="0057364B">
        <w:rPr>
          <w:rFonts w:ascii="Trebuchet MS" w:eastAsia="Trebuchet MS" w:hAnsi="Trebuchet MS" w:cs="Trebuchet MS"/>
          <w:bCs/>
        </w:rPr>
        <w:t>,</w:t>
      </w:r>
      <w:r w:rsidR="003153AF" w:rsidRPr="002250D2">
        <w:rPr>
          <w:rFonts w:ascii="Trebuchet MS" w:eastAsia="Trebuchet MS" w:hAnsi="Trebuchet MS" w:cs="Trebuchet MS"/>
          <w:bCs/>
        </w:rPr>
        <w:t xml:space="preserve"> elaborate în cadrul Proiectului RO-FLOODS</w:t>
      </w:r>
      <w:r w:rsidR="0057364B">
        <w:rPr>
          <w:rFonts w:ascii="Trebuchet MS" w:eastAsia="Trebuchet MS" w:hAnsi="Trebuchet MS" w:cs="Trebuchet MS"/>
          <w:bCs/>
        </w:rPr>
        <w:t>,</w:t>
      </w:r>
      <w:r w:rsidR="003153AF" w:rsidRPr="002250D2">
        <w:rPr>
          <w:rFonts w:ascii="Trebuchet MS" w:eastAsia="Trebuchet MS" w:hAnsi="Trebuchet MS" w:cs="Trebuchet MS"/>
          <w:bCs/>
        </w:rPr>
        <w:t xml:space="preserve"> au fost încărcate într-un Vizualizator Web GIS pentru a fi analizate și validate de experții din cadrul Administrațiilor Bazinale de Apă și ai părților interesate - instituții selectate, precum primării și alte organizații locale și regionale. În total, peste 900 de experți au primit accesul necesar pentru a putea analiza hărțile și pentru a putea identifica zonele în care evaluarea trebuie reluată și îmbunătățită de experții în modelare.</w:t>
      </w:r>
    </w:p>
    <w:p w14:paraId="594E099E" w14:textId="678E0520" w:rsidR="002250D2" w:rsidRDefault="002250D2" w:rsidP="00AC09EF">
      <w:pPr>
        <w:spacing w:line="240" w:lineRule="auto"/>
        <w:jc w:val="both"/>
        <w:rPr>
          <w:rFonts w:ascii="Trebuchet MS" w:eastAsia="Trebuchet MS" w:hAnsi="Trebuchet MS" w:cs="Trebuchet MS"/>
          <w:bCs/>
        </w:rPr>
      </w:pPr>
      <w:r w:rsidRPr="002250D2">
        <w:rPr>
          <w:rFonts w:ascii="Trebuchet MS" w:eastAsia="Trebuchet MS" w:hAnsi="Trebuchet MS" w:cs="Trebuchet MS"/>
          <w:bCs/>
        </w:rPr>
        <w:lastRenderedPageBreak/>
        <w:t>Hărțile</w:t>
      </w:r>
      <w:r w:rsidR="0057364B">
        <w:rPr>
          <w:rFonts w:ascii="Trebuchet MS" w:eastAsia="Trebuchet MS" w:hAnsi="Trebuchet MS" w:cs="Trebuchet MS"/>
          <w:bCs/>
        </w:rPr>
        <w:t>,</w:t>
      </w:r>
      <w:r w:rsidRPr="002250D2">
        <w:rPr>
          <w:rFonts w:ascii="Trebuchet MS" w:eastAsia="Trebuchet MS" w:hAnsi="Trebuchet MS" w:cs="Trebuchet MS"/>
          <w:bCs/>
        </w:rPr>
        <w:t xml:space="preserve"> </w:t>
      </w:r>
      <w:r w:rsidR="0057364B">
        <w:rPr>
          <w:rFonts w:ascii="Trebuchet MS" w:eastAsia="Trebuchet MS" w:hAnsi="Trebuchet MS" w:cs="Trebuchet MS"/>
          <w:bCs/>
        </w:rPr>
        <w:t xml:space="preserve">care sunt accesibile oricărei persoane interesate, </w:t>
      </w:r>
      <w:r w:rsidRPr="002250D2">
        <w:rPr>
          <w:rFonts w:ascii="Trebuchet MS" w:eastAsia="Trebuchet MS" w:hAnsi="Trebuchet MS" w:cs="Trebuchet MS"/>
          <w:bCs/>
        </w:rPr>
        <w:t>constituie un instrument esențial pentru managementul integrat al riscului la inundații deoarece acestea sunt utilizate pentru planificarea măsurilor necesare pentru protecția la inundații, pentru planificarea modului de utilizare a terenurilor și pentru a preveni și evita noi riscuri la inundații.</w:t>
      </w:r>
    </w:p>
    <w:p w14:paraId="4C759A43" w14:textId="4DAAD3F0" w:rsidR="00AC09EF" w:rsidRPr="002250D2" w:rsidRDefault="00AC09EF" w:rsidP="00AC09EF">
      <w:pPr>
        <w:spacing w:line="240" w:lineRule="auto"/>
        <w:jc w:val="both"/>
        <w:rPr>
          <w:rFonts w:ascii="Trebuchet MS" w:eastAsia="Trebuchet MS" w:hAnsi="Trebuchet MS" w:cs="Trebuchet MS"/>
          <w:bCs/>
        </w:rPr>
      </w:pPr>
      <w:r w:rsidRPr="00AC09EF">
        <w:rPr>
          <w:rFonts w:ascii="Trebuchet MS" w:eastAsia="Trebuchet MS" w:hAnsi="Trebuchet MS" w:cs="Trebuchet MS"/>
          <w:bCs/>
        </w:rPr>
        <w:t>Pentru a oferi acces la aceste informații importante privind riscul la inundații</w:t>
      </w:r>
      <w:r>
        <w:rPr>
          <w:rFonts w:ascii="Trebuchet MS" w:eastAsia="Trebuchet MS" w:hAnsi="Trebuchet MS" w:cs="Trebuchet MS"/>
          <w:bCs/>
        </w:rPr>
        <w:t>,</w:t>
      </w:r>
      <w:r w:rsidRPr="00AC09EF">
        <w:rPr>
          <w:rFonts w:ascii="Trebuchet MS" w:eastAsia="Trebuchet MS" w:hAnsi="Trebuchet MS" w:cs="Trebuchet MS"/>
          <w:bCs/>
        </w:rPr>
        <w:t xml:space="preserve"> hărțile sunt acum disponibile pe noul site web </w:t>
      </w:r>
      <w:hyperlink r:id="rId10" w:history="1">
        <w:r w:rsidRPr="00823E1A">
          <w:rPr>
            <w:rStyle w:val="Hyperlink"/>
            <w:rFonts w:ascii="Trebuchet MS" w:eastAsia="Trebuchet MS" w:hAnsi="Trebuchet MS" w:cs="Trebuchet MS"/>
            <w:bCs/>
          </w:rPr>
          <w:t>www.inundatii.ro</w:t>
        </w:r>
      </w:hyperlink>
      <w:r w:rsidRPr="00AC09EF">
        <w:rPr>
          <w:rFonts w:ascii="Trebuchet MS" w:eastAsia="Trebuchet MS" w:hAnsi="Trebuchet MS" w:cs="Trebuchet MS"/>
          <w:bCs/>
        </w:rPr>
        <w:t>,</w:t>
      </w:r>
      <w:r>
        <w:rPr>
          <w:rFonts w:ascii="Trebuchet MS" w:eastAsia="Trebuchet MS" w:hAnsi="Trebuchet MS" w:cs="Trebuchet MS"/>
          <w:bCs/>
        </w:rPr>
        <w:t xml:space="preserve"> </w:t>
      </w:r>
      <w:r w:rsidRPr="00AC09EF">
        <w:rPr>
          <w:rFonts w:ascii="Trebuchet MS" w:eastAsia="Trebuchet MS" w:hAnsi="Trebuchet MS" w:cs="Trebuchet MS"/>
          <w:bCs/>
        </w:rPr>
        <w:t xml:space="preserve">creat în cadrul Proiectului RO-FLOODS. Un Vizualizator Web GIS ușor de utilizat va permite vizualizarea diferitelor hărți de hazard și de risc, inclusiv a hărților realizate pentru primul ciclu în 2014. Pe site-ul web </w:t>
      </w:r>
      <w:hyperlink r:id="rId11" w:history="1">
        <w:r w:rsidR="003F7B71" w:rsidRPr="00151CEC">
          <w:rPr>
            <w:rStyle w:val="Hyperlink"/>
            <w:rFonts w:ascii="Trebuchet MS" w:eastAsia="Trebuchet MS" w:hAnsi="Trebuchet MS" w:cs="Trebuchet MS"/>
            <w:bCs/>
          </w:rPr>
          <w:t>www.inundatii.ro</w:t>
        </w:r>
      </w:hyperlink>
      <w:r w:rsidR="003F7B71">
        <w:rPr>
          <w:rFonts w:ascii="Trebuchet MS" w:eastAsia="Trebuchet MS" w:hAnsi="Trebuchet MS" w:cs="Trebuchet MS"/>
          <w:bCs/>
        </w:rPr>
        <w:t xml:space="preserve"> </w:t>
      </w:r>
      <w:r w:rsidRPr="00AC09EF">
        <w:rPr>
          <w:rFonts w:ascii="Trebuchet MS" w:eastAsia="Trebuchet MS" w:hAnsi="Trebuchet MS" w:cs="Trebuchet MS"/>
          <w:bCs/>
        </w:rPr>
        <w:t>există o secțiune cu întrebări și răspunsuri referitoare la hărți, precum și informații și instrucțiuni suplimentare cu privire la modul de utilizare a Vizualizatorului Web GIS pentru a explora hărțile.</w:t>
      </w:r>
    </w:p>
    <w:p w14:paraId="2347FF28" w14:textId="1C146558" w:rsidR="00142DAC" w:rsidRDefault="00142DAC" w:rsidP="00161EBC">
      <w:pPr>
        <w:spacing w:line="360" w:lineRule="auto"/>
        <w:jc w:val="both"/>
        <w:rPr>
          <w:rFonts w:ascii="Trebuchet MS" w:eastAsia="Trebuchet MS" w:hAnsi="Trebuchet MS" w:cs="Trebuchet MS"/>
          <w:b/>
          <w:u w:val="single"/>
        </w:rPr>
      </w:pPr>
    </w:p>
    <w:p w14:paraId="5580A334" w14:textId="77777777" w:rsidR="00142DAC" w:rsidRDefault="00142DAC" w:rsidP="00161EBC">
      <w:pPr>
        <w:spacing w:line="360" w:lineRule="auto"/>
        <w:jc w:val="both"/>
        <w:rPr>
          <w:rFonts w:ascii="Trebuchet MS" w:eastAsia="Trebuchet MS" w:hAnsi="Trebuchet MS" w:cs="Trebuchet MS"/>
          <w:b/>
          <w:u w:val="single"/>
        </w:rPr>
      </w:pPr>
    </w:p>
    <w:p w14:paraId="6ED13B17" w14:textId="728995E2" w:rsidR="002250D2" w:rsidRPr="002250D2" w:rsidRDefault="002250D2" w:rsidP="00161EBC">
      <w:pPr>
        <w:spacing w:line="360" w:lineRule="auto"/>
        <w:jc w:val="both"/>
        <w:rPr>
          <w:rFonts w:ascii="Trebuchet MS" w:eastAsia="Trebuchet MS" w:hAnsi="Trebuchet MS" w:cs="Trebuchet MS"/>
          <w:b/>
          <w:u w:val="single"/>
        </w:rPr>
      </w:pPr>
      <w:r w:rsidRPr="002250D2">
        <w:rPr>
          <w:rFonts w:ascii="Trebuchet MS" w:eastAsia="Trebuchet MS" w:hAnsi="Trebuchet MS" w:cs="Trebuchet MS"/>
          <w:b/>
          <w:u w:val="single"/>
        </w:rPr>
        <w:t>Informații suplimentare:</w:t>
      </w:r>
    </w:p>
    <w:p w14:paraId="67B9B986" w14:textId="1F18AE01" w:rsidR="00161EBC" w:rsidRPr="00142DAC" w:rsidRDefault="00161EBC" w:rsidP="002250D2">
      <w:pPr>
        <w:spacing w:line="240" w:lineRule="auto"/>
        <w:jc w:val="both"/>
        <w:rPr>
          <w:rFonts w:ascii="Trebuchet MS" w:eastAsia="Trebuchet MS" w:hAnsi="Trebuchet MS" w:cs="Trebuchet MS"/>
          <w:bCs/>
          <w:i/>
          <w:iCs/>
          <w:sz w:val="16"/>
          <w:szCs w:val="16"/>
        </w:rPr>
      </w:pPr>
      <w:r w:rsidRPr="00142DAC">
        <w:rPr>
          <w:rFonts w:ascii="Trebuchet MS" w:eastAsia="Trebuchet MS" w:hAnsi="Trebuchet MS" w:cs="Trebuchet MS"/>
          <w:bCs/>
          <w:i/>
          <w:iCs/>
          <w:sz w:val="16"/>
          <w:szCs w:val="16"/>
        </w:rPr>
        <w:t>Proiectul „Întărirea capacității autorității publice centrale în domeniul apelor în scopul implementării etapelor a 2-a și a 3-a ale Ciclului II al Directivei Inundații - RO-FLOODS”</w:t>
      </w:r>
      <w:r w:rsidR="002250D2" w:rsidRPr="00142DAC">
        <w:rPr>
          <w:i/>
          <w:iCs/>
          <w:sz w:val="16"/>
          <w:szCs w:val="16"/>
        </w:rPr>
        <w:t xml:space="preserve"> </w:t>
      </w:r>
      <w:r w:rsidR="002250D2" w:rsidRPr="00142DAC">
        <w:rPr>
          <w:rFonts w:ascii="Trebuchet MS" w:eastAsia="Trebuchet MS" w:hAnsi="Trebuchet MS" w:cs="Trebuchet MS"/>
          <w:bCs/>
          <w:i/>
          <w:iCs/>
          <w:sz w:val="16"/>
          <w:szCs w:val="16"/>
        </w:rPr>
        <w:t xml:space="preserve">cod SIPOCA 734 / cod MySMIS 130033 </w:t>
      </w:r>
      <w:r w:rsidRPr="00142DAC">
        <w:rPr>
          <w:rFonts w:ascii="Trebuchet MS" w:eastAsia="Trebuchet MS" w:hAnsi="Trebuchet MS" w:cs="Trebuchet MS"/>
          <w:bCs/>
          <w:i/>
          <w:iCs/>
          <w:sz w:val="16"/>
          <w:szCs w:val="16"/>
        </w:rPr>
        <w:t xml:space="preserve"> este derulat de Ministerul Mediului - România împreună cu Administrația Națională Apele Române și cu sprijinul World Bank Romania.</w:t>
      </w:r>
      <w:r w:rsidR="007D3583" w:rsidRPr="00142DAC">
        <w:rPr>
          <w:i/>
          <w:iCs/>
          <w:sz w:val="16"/>
          <w:szCs w:val="16"/>
        </w:rPr>
        <w:t xml:space="preserve"> </w:t>
      </w:r>
      <w:r w:rsidR="007D3583" w:rsidRPr="00142DAC">
        <w:rPr>
          <w:rFonts w:ascii="Trebuchet MS" w:eastAsia="Trebuchet MS" w:hAnsi="Trebuchet MS" w:cs="Trebuchet MS"/>
          <w:bCs/>
          <w:i/>
          <w:iCs/>
          <w:sz w:val="16"/>
          <w:szCs w:val="16"/>
        </w:rPr>
        <w:t>Proiectul este cofinanțat din Fondul Social European, prin Programul Operațional Capacitate Administrativă 2014-2020, obiectiv specific Dezvoltarea și introducerea de sisteme și standarde comune în administrația publică ce optimizează procesele decizionale orientate către cetățeni și mediul de afaceri în concordanță cu SCAP.</w:t>
      </w:r>
    </w:p>
    <w:p w14:paraId="5B0F35BA" w14:textId="14221A7D" w:rsidR="00161EBC" w:rsidRPr="00142DAC" w:rsidRDefault="00161EBC" w:rsidP="002250D2">
      <w:pPr>
        <w:spacing w:line="240" w:lineRule="auto"/>
        <w:jc w:val="both"/>
        <w:rPr>
          <w:rFonts w:ascii="Trebuchet MS" w:eastAsia="Trebuchet MS" w:hAnsi="Trebuchet MS" w:cs="Trebuchet MS"/>
          <w:bCs/>
          <w:i/>
          <w:iCs/>
          <w:sz w:val="16"/>
          <w:szCs w:val="16"/>
        </w:rPr>
      </w:pPr>
      <w:r w:rsidRPr="00142DAC">
        <w:rPr>
          <w:rFonts w:ascii="Trebuchet MS" w:eastAsia="Trebuchet MS" w:hAnsi="Trebuchet MS" w:cs="Trebuchet MS"/>
          <w:bCs/>
          <w:i/>
          <w:iCs/>
          <w:sz w:val="16"/>
          <w:szCs w:val="16"/>
        </w:rPr>
        <w:t xml:space="preserve">RO-FLOODS are ca scop reactualizarea </w:t>
      </w:r>
      <w:r w:rsidR="00155F3A" w:rsidRPr="00142DAC">
        <w:rPr>
          <w:rFonts w:ascii="Trebuchet MS" w:eastAsia="Trebuchet MS" w:hAnsi="Trebuchet MS" w:cs="Trebuchet MS"/>
          <w:bCs/>
          <w:i/>
          <w:iCs/>
          <w:sz w:val="16"/>
          <w:szCs w:val="16"/>
        </w:rPr>
        <w:t xml:space="preserve">hărților de hazard și risc la inundații, precum și a </w:t>
      </w:r>
      <w:r w:rsidRPr="00142DAC">
        <w:rPr>
          <w:rFonts w:ascii="Trebuchet MS" w:eastAsia="Trebuchet MS" w:hAnsi="Trebuchet MS" w:cs="Trebuchet MS"/>
          <w:bCs/>
          <w:i/>
          <w:iCs/>
          <w:sz w:val="16"/>
          <w:szCs w:val="16"/>
        </w:rPr>
        <w:t xml:space="preserve">Planurilor de Management al Riscului la Inundații pentru perioada 2022-2027 de la nivelul tuturor celor 11 Administrații Bazinale de Apă. </w:t>
      </w:r>
      <w:r w:rsidR="00155F3A" w:rsidRPr="00142DAC">
        <w:rPr>
          <w:rFonts w:ascii="Trebuchet MS" w:eastAsia="Trebuchet MS" w:hAnsi="Trebuchet MS" w:cs="Trebuchet MS"/>
          <w:bCs/>
          <w:i/>
          <w:iCs/>
          <w:sz w:val="16"/>
          <w:szCs w:val="16"/>
        </w:rPr>
        <w:t xml:space="preserve">Menționăm că </w:t>
      </w:r>
      <w:r w:rsidR="00017795" w:rsidRPr="00142DAC">
        <w:rPr>
          <w:rFonts w:ascii="Trebuchet MS" w:eastAsia="Trebuchet MS" w:hAnsi="Trebuchet MS" w:cs="Trebuchet MS"/>
          <w:bCs/>
          <w:i/>
          <w:iCs/>
          <w:sz w:val="16"/>
          <w:szCs w:val="16"/>
        </w:rPr>
        <w:t xml:space="preserve">versiunile preliminare ale </w:t>
      </w:r>
      <w:r w:rsidR="00155F3A" w:rsidRPr="00142DAC">
        <w:rPr>
          <w:rFonts w:ascii="Trebuchet MS" w:eastAsia="Trebuchet MS" w:hAnsi="Trebuchet MS" w:cs="Trebuchet MS"/>
          <w:bCs/>
          <w:i/>
          <w:iCs/>
          <w:sz w:val="16"/>
          <w:szCs w:val="16"/>
        </w:rPr>
        <w:t>Planuril</w:t>
      </w:r>
      <w:r w:rsidR="00017795" w:rsidRPr="00142DAC">
        <w:rPr>
          <w:rFonts w:ascii="Trebuchet MS" w:eastAsia="Trebuchet MS" w:hAnsi="Trebuchet MS" w:cs="Trebuchet MS"/>
          <w:bCs/>
          <w:i/>
          <w:iCs/>
          <w:sz w:val="16"/>
          <w:szCs w:val="16"/>
        </w:rPr>
        <w:t>or</w:t>
      </w:r>
      <w:r w:rsidR="00155F3A" w:rsidRPr="00142DAC">
        <w:rPr>
          <w:rFonts w:ascii="Trebuchet MS" w:eastAsia="Trebuchet MS" w:hAnsi="Trebuchet MS" w:cs="Trebuchet MS"/>
          <w:bCs/>
          <w:i/>
          <w:iCs/>
          <w:sz w:val="16"/>
          <w:szCs w:val="16"/>
        </w:rPr>
        <w:t xml:space="preserve"> de Management al Riscului la Inundații </w:t>
      </w:r>
      <w:r w:rsidR="00AC09EF" w:rsidRPr="00142DAC">
        <w:rPr>
          <w:rFonts w:ascii="Trebuchet MS" w:eastAsia="Trebuchet MS" w:hAnsi="Trebuchet MS" w:cs="Trebuchet MS"/>
          <w:b/>
          <w:i/>
          <w:iCs/>
          <w:sz w:val="16"/>
          <w:szCs w:val="16"/>
        </w:rPr>
        <w:t xml:space="preserve">se află </w:t>
      </w:r>
      <w:r w:rsidR="00155F3A" w:rsidRPr="00142DAC">
        <w:rPr>
          <w:rFonts w:ascii="Trebuchet MS" w:eastAsia="Trebuchet MS" w:hAnsi="Trebuchet MS" w:cs="Trebuchet MS"/>
          <w:b/>
          <w:i/>
          <w:iCs/>
          <w:sz w:val="16"/>
          <w:szCs w:val="16"/>
        </w:rPr>
        <w:t>în consultare publică</w:t>
      </w:r>
      <w:r w:rsidR="00155F3A" w:rsidRPr="00142DAC">
        <w:rPr>
          <w:rFonts w:ascii="Trebuchet MS" w:eastAsia="Trebuchet MS" w:hAnsi="Trebuchet MS" w:cs="Trebuchet MS"/>
          <w:bCs/>
          <w:i/>
          <w:iCs/>
          <w:sz w:val="16"/>
          <w:szCs w:val="16"/>
        </w:rPr>
        <w:t xml:space="preserve"> în vederea raportării </w:t>
      </w:r>
      <w:r w:rsidR="00017795" w:rsidRPr="00142DAC">
        <w:rPr>
          <w:rFonts w:ascii="Trebuchet MS" w:eastAsia="Trebuchet MS" w:hAnsi="Trebuchet MS" w:cs="Trebuchet MS"/>
          <w:bCs/>
          <w:i/>
          <w:iCs/>
          <w:sz w:val="16"/>
          <w:szCs w:val="16"/>
        </w:rPr>
        <w:t>la Uniunea Europeană până la sfârșitul lunii martie 2023</w:t>
      </w:r>
      <w:r w:rsidR="00155F3A" w:rsidRPr="00142DAC">
        <w:rPr>
          <w:rFonts w:ascii="Trebuchet MS" w:eastAsia="Trebuchet MS" w:hAnsi="Trebuchet MS" w:cs="Trebuchet MS"/>
          <w:bCs/>
          <w:i/>
          <w:iCs/>
          <w:sz w:val="16"/>
          <w:szCs w:val="16"/>
        </w:rPr>
        <w:t>.</w:t>
      </w:r>
    </w:p>
    <w:p w14:paraId="1B7118E9" w14:textId="42939B39" w:rsidR="00AC09EF" w:rsidRPr="00142DAC" w:rsidRDefault="00AC09EF" w:rsidP="002250D2">
      <w:pPr>
        <w:spacing w:line="240" w:lineRule="auto"/>
        <w:jc w:val="both"/>
        <w:rPr>
          <w:rFonts w:ascii="Trebuchet MS" w:eastAsia="Trebuchet MS" w:hAnsi="Trebuchet MS" w:cs="Trebuchet MS"/>
          <w:bCs/>
          <w:i/>
          <w:iCs/>
          <w:sz w:val="16"/>
          <w:szCs w:val="16"/>
        </w:rPr>
      </w:pPr>
      <w:r w:rsidRPr="00142DAC">
        <w:rPr>
          <w:rFonts w:ascii="Trebuchet MS" w:eastAsia="Trebuchet MS" w:hAnsi="Trebuchet MS" w:cs="Trebuchet MS"/>
          <w:bCs/>
          <w:i/>
          <w:iCs/>
          <w:sz w:val="16"/>
          <w:szCs w:val="16"/>
        </w:rPr>
        <w:t>După finalizare, Planurile de Management al Riscului la Inundații, împreună cu Planurile de Management al Bazinelor Hidrografice, realizate conform Directivei Inundații, respectiv Directivei Cadru Apă, vor oferi o viziune integrativă a managementului resurselor de apă. Aceasta va fi transpusă și la nivelul districtului hidrografic al bazinului Dunării, în cadrul Planului de Management al Districtului Hidrografic al Dunării.</w:t>
      </w:r>
    </w:p>
    <w:p w14:paraId="5E1457A1" w14:textId="5B3DCA57" w:rsidR="002250D2" w:rsidRPr="00142DAC" w:rsidRDefault="002250D2" w:rsidP="002250D2">
      <w:pPr>
        <w:spacing w:line="240" w:lineRule="auto"/>
        <w:jc w:val="both"/>
        <w:rPr>
          <w:rFonts w:ascii="Trebuchet MS" w:eastAsia="Trebuchet MS" w:hAnsi="Trebuchet MS" w:cs="Trebuchet MS"/>
          <w:i/>
          <w:iCs/>
          <w:sz w:val="16"/>
          <w:szCs w:val="16"/>
        </w:rPr>
      </w:pPr>
      <w:r w:rsidRPr="00142DAC">
        <w:rPr>
          <w:rFonts w:ascii="Trebuchet MS" w:eastAsia="Trebuchet MS" w:hAnsi="Trebuchet MS" w:cs="Trebuchet MS"/>
          <w:b/>
          <w:bCs/>
          <w:i/>
          <w:iCs/>
          <w:sz w:val="16"/>
          <w:szCs w:val="16"/>
        </w:rPr>
        <w:t>Ce sunt Hărțile de Hazard la Inundații:</w:t>
      </w:r>
      <w:r w:rsidRPr="00142DAC">
        <w:rPr>
          <w:rFonts w:ascii="Trebuchet MS" w:eastAsia="Trebuchet MS" w:hAnsi="Trebuchet MS" w:cs="Trebuchet MS"/>
          <w:i/>
          <w:iCs/>
          <w:sz w:val="16"/>
          <w:szCs w:val="16"/>
        </w:rPr>
        <w:t xml:space="preserve"> O hartă de hazard la inundații indică zona care va fi inundată în timpul unor evenimente de inundații sintetice cu diferite probabilități anuale de depășire. Mai mult, aceasta poate furniza informații privind adâncimea apei sau viteza de curgere a apei.</w:t>
      </w:r>
    </w:p>
    <w:p w14:paraId="5FFB81FC" w14:textId="77777777" w:rsidR="00AC09EF" w:rsidRPr="00142DAC" w:rsidRDefault="002250D2" w:rsidP="002250D2">
      <w:pPr>
        <w:spacing w:line="240" w:lineRule="auto"/>
        <w:jc w:val="both"/>
        <w:rPr>
          <w:i/>
          <w:iCs/>
          <w:sz w:val="16"/>
          <w:szCs w:val="16"/>
        </w:rPr>
      </w:pPr>
      <w:r w:rsidRPr="00142DAC">
        <w:rPr>
          <w:rFonts w:ascii="Trebuchet MS" w:eastAsia="Trebuchet MS" w:hAnsi="Trebuchet MS" w:cs="Trebuchet MS"/>
          <w:b/>
          <w:bCs/>
          <w:i/>
          <w:iCs/>
          <w:sz w:val="16"/>
          <w:szCs w:val="16"/>
        </w:rPr>
        <w:t>Ce sunt Hărțile de Risc la Inundații:</w:t>
      </w:r>
      <w:r w:rsidRPr="00142DAC">
        <w:rPr>
          <w:rFonts w:ascii="Trebuchet MS" w:eastAsia="Trebuchet MS" w:hAnsi="Trebuchet MS" w:cs="Trebuchet MS"/>
          <w:i/>
          <w:iCs/>
          <w:sz w:val="16"/>
          <w:szCs w:val="16"/>
        </w:rPr>
        <w:t xml:space="preserve"> O hartă de risc la inundații indică impactul potențial al inundațiilor asupra vieții, a bunurilor și a sănătății oamenilor, a economiei, patrimoniului cultural și mediului. Pentru aceasta, hărțile de hazard sunt combinate cu informațiile privind elementele expuse și pagubele asociate din zonele inundate.</w:t>
      </w:r>
      <w:r w:rsidR="00AC09EF" w:rsidRPr="00142DAC">
        <w:rPr>
          <w:i/>
          <w:iCs/>
          <w:sz w:val="16"/>
          <w:szCs w:val="16"/>
        </w:rPr>
        <w:t xml:space="preserve"> </w:t>
      </w:r>
    </w:p>
    <w:p w14:paraId="20235264" w14:textId="4EB68A1F" w:rsidR="00C31F1E" w:rsidRPr="00142DAC" w:rsidRDefault="00AC09EF" w:rsidP="002250D2">
      <w:pPr>
        <w:spacing w:line="240" w:lineRule="auto"/>
        <w:jc w:val="both"/>
        <w:rPr>
          <w:rFonts w:ascii="Trebuchet MS" w:eastAsia="Trebuchet MS" w:hAnsi="Trebuchet MS" w:cs="Trebuchet MS"/>
          <w:i/>
          <w:iCs/>
          <w:sz w:val="16"/>
          <w:szCs w:val="16"/>
        </w:rPr>
      </w:pPr>
      <w:r w:rsidRPr="00142DAC">
        <w:rPr>
          <w:rFonts w:ascii="Trebuchet MS" w:eastAsia="Trebuchet MS" w:hAnsi="Trebuchet MS" w:cs="Trebuchet MS"/>
          <w:i/>
          <w:iCs/>
          <w:sz w:val="16"/>
          <w:szCs w:val="16"/>
        </w:rPr>
        <w:t>Pentru întrebări specifice referitoare la hărți toți cetățenii sunt invitați să contacteze prin e-mail Administrația Bazinală de Apă de care aparțin.</w:t>
      </w:r>
    </w:p>
    <w:p w14:paraId="34BB1536" w14:textId="559A48E3" w:rsidR="007D3583" w:rsidRDefault="00AC09EF">
      <w:pPr>
        <w:spacing w:line="240" w:lineRule="auto"/>
        <w:jc w:val="both"/>
        <w:rPr>
          <w:rFonts w:ascii="Trebuchet MS" w:eastAsia="Trebuchet MS" w:hAnsi="Trebuchet MS" w:cs="Trebuchet MS"/>
          <w:i/>
          <w:iCs/>
          <w:sz w:val="16"/>
          <w:szCs w:val="16"/>
        </w:rPr>
      </w:pPr>
      <w:r w:rsidRPr="00142DAC">
        <w:rPr>
          <w:rFonts w:ascii="Trebuchet MS" w:eastAsia="Trebuchet MS" w:hAnsi="Trebuchet MS" w:cs="Trebuchet MS"/>
          <w:i/>
          <w:iCs/>
          <w:sz w:val="16"/>
          <w:szCs w:val="16"/>
        </w:rPr>
        <w:t xml:space="preserve">Mai multe informații găsiti pe </w:t>
      </w:r>
      <w:hyperlink r:id="rId12" w:history="1">
        <w:r w:rsidRPr="00142DAC">
          <w:rPr>
            <w:rStyle w:val="Hyperlink"/>
            <w:rFonts w:ascii="Trebuchet MS" w:eastAsia="Trebuchet MS" w:hAnsi="Trebuchet MS" w:cs="Trebuchet MS"/>
            <w:i/>
            <w:iCs/>
            <w:sz w:val="16"/>
            <w:szCs w:val="16"/>
          </w:rPr>
          <w:t>www.inundatii.ro</w:t>
        </w:r>
      </w:hyperlink>
      <w:r w:rsidRPr="00142DAC">
        <w:rPr>
          <w:rFonts w:ascii="Trebuchet MS" w:eastAsia="Trebuchet MS" w:hAnsi="Trebuchet MS" w:cs="Trebuchet MS"/>
          <w:i/>
          <w:iCs/>
          <w:sz w:val="16"/>
          <w:szCs w:val="16"/>
        </w:rPr>
        <w:t xml:space="preserve">. </w:t>
      </w:r>
    </w:p>
    <w:p w14:paraId="1AEB14D8" w14:textId="478B56EB" w:rsidR="00142DAC" w:rsidRDefault="00142DAC">
      <w:pPr>
        <w:spacing w:line="240" w:lineRule="auto"/>
        <w:jc w:val="both"/>
        <w:rPr>
          <w:rFonts w:ascii="Trebuchet MS" w:eastAsia="Trebuchet MS" w:hAnsi="Trebuchet MS" w:cs="Trebuchet MS"/>
          <w:i/>
          <w:iCs/>
          <w:sz w:val="16"/>
          <w:szCs w:val="16"/>
        </w:rPr>
      </w:pPr>
    </w:p>
    <w:p w14:paraId="479254E8" w14:textId="77777777" w:rsidR="00142DAC" w:rsidRPr="00142DAC" w:rsidRDefault="00142DAC">
      <w:pPr>
        <w:spacing w:line="240" w:lineRule="auto"/>
        <w:jc w:val="both"/>
        <w:rPr>
          <w:rFonts w:ascii="Trebuchet MS" w:eastAsia="Trebuchet MS" w:hAnsi="Trebuchet MS" w:cs="Trebuchet MS"/>
          <w:i/>
          <w:iCs/>
          <w:sz w:val="16"/>
          <w:szCs w:val="16"/>
        </w:rPr>
      </w:pPr>
    </w:p>
    <w:p w14:paraId="061C881E" w14:textId="77777777" w:rsidR="00C31F1E" w:rsidRPr="00142DAC" w:rsidRDefault="008B1E26" w:rsidP="00DC6382">
      <w:pPr>
        <w:spacing w:line="240" w:lineRule="auto"/>
        <w:jc w:val="both"/>
        <w:rPr>
          <w:rFonts w:ascii="Trebuchet MS" w:eastAsia="Trebuchet MS" w:hAnsi="Trebuchet MS" w:cs="Trebuchet MS"/>
          <w:i/>
          <w:iCs/>
          <w:sz w:val="16"/>
          <w:szCs w:val="16"/>
        </w:rPr>
      </w:pPr>
      <w:r w:rsidRPr="00142DAC">
        <w:rPr>
          <w:rFonts w:ascii="Trebuchet MS" w:eastAsia="Trebuchet MS" w:hAnsi="Trebuchet MS" w:cs="Trebuchet MS"/>
          <w:i/>
          <w:iCs/>
          <w:sz w:val="16"/>
          <w:szCs w:val="16"/>
        </w:rPr>
        <w:t>Contact: Olimpia Negru, manager Proiect SIPOCA 734</w:t>
      </w:r>
    </w:p>
    <w:p w14:paraId="0F9EACCF" w14:textId="53D01276" w:rsidR="00C31F1E" w:rsidRDefault="008B1E26" w:rsidP="00DC6382">
      <w:pPr>
        <w:spacing w:line="240" w:lineRule="auto"/>
        <w:jc w:val="both"/>
        <w:rPr>
          <w:rFonts w:ascii="Trebuchet MS" w:eastAsia="Trebuchet MS" w:hAnsi="Trebuchet MS" w:cs="Trebuchet MS"/>
          <w:i/>
          <w:iCs/>
          <w:sz w:val="16"/>
          <w:szCs w:val="16"/>
        </w:rPr>
      </w:pPr>
      <w:r w:rsidRPr="00142DAC">
        <w:rPr>
          <w:rFonts w:ascii="Trebuchet MS" w:eastAsia="Trebuchet MS" w:hAnsi="Trebuchet MS" w:cs="Trebuchet MS"/>
          <w:i/>
          <w:iCs/>
          <w:sz w:val="16"/>
          <w:szCs w:val="16"/>
        </w:rPr>
        <w:t xml:space="preserve">e-mail: </w:t>
      </w:r>
      <w:hyperlink r:id="rId13">
        <w:r w:rsidRPr="00142DAC">
          <w:rPr>
            <w:rFonts w:ascii="Trebuchet MS" w:eastAsia="Trebuchet MS" w:hAnsi="Trebuchet MS" w:cs="Trebuchet MS"/>
            <w:i/>
            <w:iCs/>
            <w:color w:val="0000FF"/>
            <w:sz w:val="16"/>
            <w:szCs w:val="16"/>
            <w:u w:val="single"/>
          </w:rPr>
          <w:t>olimpia.negru@mmediu.ro</w:t>
        </w:r>
      </w:hyperlink>
      <w:r w:rsidRPr="00142DAC">
        <w:rPr>
          <w:rFonts w:ascii="Trebuchet MS" w:eastAsia="Trebuchet MS" w:hAnsi="Trebuchet MS" w:cs="Trebuchet MS"/>
          <w:i/>
          <w:iCs/>
          <w:sz w:val="16"/>
          <w:szCs w:val="16"/>
        </w:rPr>
        <w:t xml:space="preserve"> </w:t>
      </w:r>
    </w:p>
    <w:p w14:paraId="70610BF6" w14:textId="5614C710" w:rsidR="00142DAC" w:rsidRDefault="00142DAC" w:rsidP="00DC6382">
      <w:pPr>
        <w:spacing w:line="240" w:lineRule="auto"/>
        <w:jc w:val="both"/>
        <w:rPr>
          <w:rFonts w:ascii="Trebuchet MS" w:eastAsia="Trebuchet MS" w:hAnsi="Trebuchet MS" w:cs="Trebuchet MS"/>
          <w:i/>
          <w:iCs/>
          <w:sz w:val="16"/>
          <w:szCs w:val="16"/>
        </w:rPr>
      </w:pPr>
    </w:p>
    <w:p w14:paraId="7625A3D3" w14:textId="1D0ACEE4" w:rsidR="00142DAC" w:rsidRDefault="00142DAC" w:rsidP="00DC6382">
      <w:pPr>
        <w:spacing w:line="240" w:lineRule="auto"/>
        <w:jc w:val="both"/>
        <w:rPr>
          <w:rFonts w:ascii="Trebuchet MS" w:eastAsia="Trebuchet MS" w:hAnsi="Trebuchet MS" w:cs="Trebuchet MS"/>
          <w:i/>
          <w:iCs/>
          <w:sz w:val="16"/>
          <w:szCs w:val="16"/>
        </w:rPr>
      </w:pPr>
    </w:p>
    <w:p w14:paraId="42AFB068" w14:textId="690F6CBB" w:rsidR="00142DAC" w:rsidRDefault="00142DAC" w:rsidP="00DC6382">
      <w:pPr>
        <w:spacing w:line="240" w:lineRule="auto"/>
        <w:jc w:val="both"/>
        <w:rPr>
          <w:rFonts w:ascii="Trebuchet MS" w:eastAsia="Trebuchet MS" w:hAnsi="Trebuchet MS" w:cs="Trebuchet MS"/>
          <w:i/>
          <w:iCs/>
          <w:sz w:val="16"/>
          <w:szCs w:val="16"/>
        </w:rPr>
      </w:pPr>
    </w:p>
    <w:p w14:paraId="0FCB31CE" w14:textId="01426695" w:rsidR="00142DAC" w:rsidRDefault="00142DAC" w:rsidP="00DC6382">
      <w:pPr>
        <w:spacing w:line="240" w:lineRule="auto"/>
        <w:jc w:val="both"/>
        <w:rPr>
          <w:rFonts w:ascii="Trebuchet MS" w:eastAsia="Trebuchet MS" w:hAnsi="Trebuchet MS" w:cs="Trebuchet MS"/>
          <w:i/>
          <w:iCs/>
          <w:sz w:val="16"/>
          <w:szCs w:val="16"/>
        </w:rPr>
      </w:pPr>
    </w:p>
    <w:p w14:paraId="369E635A" w14:textId="77777777" w:rsidR="00C31F1E" w:rsidRDefault="008B1E26">
      <w:pPr>
        <w:spacing w:line="240" w:lineRule="auto"/>
        <w:jc w:val="center"/>
        <w:rPr>
          <w:rFonts w:ascii="Trebuchet MS" w:eastAsia="Trebuchet MS" w:hAnsi="Trebuchet MS" w:cs="Trebuchet MS"/>
        </w:rPr>
      </w:pPr>
      <w:r>
        <w:rPr>
          <w:rFonts w:ascii="Trebuchet MS" w:eastAsia="Trebuchet MS" w:hAnsi="Trebuchet MS" w:cs="Trebuchet MS"/>
        </w:rPr>
        <w:t>„Proiect cofinanțat din Fondul Social European, prin Programului Operațional Capacitate Administrativă 2014-2020”</w:t>
      </w:r>
    </w:p>
    <w:sectPr w:rsidR="00C31F1E">
      <w:headerReference w:type="default" r:id="rId14"/>
      <w:footerReference w:type="default" r:id="rId15"/>
      <w:headerReference w:type="first" r:id="rId16"/>
      <w:footerReference w:type="first" r:id="rId17"/>
      <w:pgSz w:w="11907" w:h="16840"/>
      <w:pgMar w:top="709" w:right="837" w:bottom="567" w:left="1418" w:header="531"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EAAE" w14:textId="77777777" w:rsidR="0046784D" w:rsidRDefault="0046784D">
      <w:pPr>
        <w:spacing w:after="0" w:line="240" w:lineRule="auto"/>
      </w:pPr>
      <w:r>
        <w:separator/>
      </w:r>
    </w:p>
  </w:endnote>
  <w:endnote w:type="continuationSeparator" w:id="0">
    <w:p w14:paraId="315B0001" w14:textId="77777777" w:rsidR="0046784D" w:rsidRDefault="0046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3BFD" w14:textId="77777777" w:rsidR="00C31F1E" w:rsidRDefault="008B1E26">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C910FDA" wp14:editId="2419FBDC">
          <wp:extent cx="6300470" cy="37719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00470" cy="377190"/>
                  </a:xfrm>
                  <a:prstGeom prst="rect">
                    <a:avLst/>
                  </a:prstGeom>
                  <a:ln/>
                </pic:spPr>
              </pic:pic>
            </a:graphicData>
          </a:graphic>
        </wp:inline>
      </w:drawing>
    </w:r>
  </w:p>
  <w:p w14:paraId="3EF429D5" w14:textId="77777777" w:rsidR="00C31F1E" w:rsidRDefault="008B1E26">
    <w:pPr>
      <w:pBdr>
        <w:top w:val="nil"/>
        <w:left w:val="nil"/>
        <w:bottom w:val="nil"/>
        <w:right w:val="nil"/>
        <w:between w:val="nil"/>
      </w:pBdr>
      <w:tabs>
        <w:tab w:val="center" w:pos="4680"/>
        <w:tab w:val="right" w:pos="9360"/>
      </w:tabs>
      <w:spacing w:after="0" w:line="240" w:lineRule="auto"/>
      <w:jc w:val="center"/>
      <w:rPr>
        <w:rFonts w:ascii="Trebuchet MS" w:eastAsia="Trebuchet MS" w:hAnsi="Trebuchet MS" w:cs="Trebuchet MS"/>
        <w:color w:val="005AA0"/>
      </w:rPr>
    </w:pPr>
    <w:r>
      <w:rPr>
        <w:rFonts w:ascii="Trebuchet MS" w:eastAsia="Trebuchet MS" w:hAnsi="Trebuchet MS" w:cs="Trebuchet MS"/>
        <w:color w:val="005AA0"/>
      </w:rPr>
      <w:t xml:space="preserve">www.poca.ro </w:t>
    </w:r>
  </w:p>
  <w:p w14:paraId="37F5B0D0" w14:textId="77777777" w:rsidR="00C31F1E" w:rsidRDefault="008B1E2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3DFDC59" wp14:editId="0E15095E">
          <wp:extent cx="2296862" cy="5752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96862" cy="575214"/>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D6E4" w14:textId="77777777" w:rsidR="00C31F1E" w:rsidRDefault="008B1E26">
    <w:pPr>
      <w:pBdr>
        <w:top w:val="nil"/>
        <w:left w:val="nil"/>
        <w:bottom w:val="nil"/>
        <w:right w:val="nil"/>
        <w:between w:val="nil"/>
      </w:pBdr>
      <w:tabs>
        <w:tab w:val="center" w:pos="4680"/>
        <w:tab w:val="right" w:pos="9360"/>
      </w:tabs>
      <w:spacing w:after="0" w:line="240" w:lineRule="auto"/>
      <w:jc w:val="center"/>
      <w:rPr>
        <w:rFonts w:ascii="Trebuchet MS" w:eastAsia="Trebuchet MS" w:hAnsi="Trebuchet MS" w:cs="Trebuchet MS"/>
        <w:color w:val="005AA0"/>
      </w:rPr>
    </w:pPr>
    <w:r>
      <w:rPr>
        <w:noProof/>
        <w:color w:val="000000"/>
      </w:rPr>
      <w:drawing>
        <wp:inline distT="0" distB="0" distL="0" distR="0" wp14:anchorId="5815161E" wp14:editId="3BFE54DD">
          <wp:extent cx="6300470" cy="3771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00470" cy="377190"/>
                  </a:xfrm>
                  <a:prstGeom prst="rect">
                    <a:avLst/>
                  </a:prstGeom>
                  <a:ln/>
                </pic:spPr>
              </pic:pic>
            </a:graphicData>
          </a:graphic>
        </wp:inline>
      </w:drawing>
    </w:r>
    <w:r>
      <w:rPr>
        <w:color w:val="005AA0"/>
      </w:rPr>
      <w:t xml:space="preserve"> </w:t>
    </w:r>
    <w:r>
      <w:rPr>
        <w:rFonts w:ascii="Trebuchet MS" w:eastAsia="Trebuchet MS" w:hAnsi="Trebuchet MS" w:cs="Trebuchet MS"/>
        <w:color w:val="005AA0"/>
      </w:rPr>
      <w:t>www.poca.ro</w:t>
    </w:r>
  </w:p>
  <w:p w14:paraId="6202AA9D" w14:textId="77777777" w:rsidR="00C31F1E" w:rsidRDefault="008B1E2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270A8591" wp14:editId="59B2D900">
          <wp:extent cx="2296862" cy="57521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96862" cy="57521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F015" w14:textId="77777777" w:rsidR="0046784D" w:rsidRDefault="0046784D">
      <w:pPr>
        <w:spacing w:after="0" w:line="240" w:lineRule="auto"/>
      </w:pPr>
      <w:r>
        <w:separator/>
      </w:r>
    </w:p>
  </w:footnote>
  <w:footnote w:type="continuationSeparator" w:id="0">
    <w:p w14:paraId="22E061EF" w14:textId="77777777" w:rsidR="0046784D" w:rsidRDefault="00467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556" w14:textId="77777777" w:rsidR="00C31F1E" w:rsidRDefault="00C31F1E">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F139" w14:textId="77777777" w:rsidR="00C31F1E" w:rsidRDefault="008B1E26">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1E"/>
    <w:rsid w:val="00017795"/>
    <w:rsid w:val="000B7844"/>
    <w:rsid w:val="000C007E"/>
    <w:rsid w:val="000F3892"/>
    <w:rsid w:val="00131A0E"/>
    <w:rsid w:val="00142DAC"/>
    <w:rsid w:val="001434B3"/>
    <w:rsid w:val="00155F3A"/>
    <w:rsid w:val="00161EBC"/>
    <w:rsid w:val="00162416"/>
    <w:rsid w:val="00215CCA"/>
    <w:rsid w:val="002250D2"/>
    <w:rsid w:val="00226B02"/>
    <w:rsid w:val="0023741B"/>
    <w:rsid w:val="0027547E"/>
    <w:rsid w:val="0028360C"/>
    <w:rsid w:val="0028404E"/>
    <w:rsid w:val="002B7BDD"/>
    <w:rsid w:val="002E6F4D"/>
    <w:rsid w:val="00314FCB"/>
    <w:rsid w:val="003153AF"/>
    <w:rsid w:val="00323446"/>
    <w:rsid w:val="00335C0E"/>
    <w:rsid w:val="00362B7E"/>
    <w:rsid w:val="00377341"/>
    <w:rsid w:val="003C29E6"/>
    <w:rsid w:val="003D69C8"/>
    <w:rsid w:val="003F171F"/>
    <w:rsid w:val="003F7B71"/>
    <w:rsid w:val="004028FE"/>
    <w:rsid w:val="00441D68"/>
    <w:rsid w:val="0046784D"/>
    <w:rsid w:val="00493E94"/>
    <w:rsid w:val="004B5B63"/>
    <w:rsid w:val="00555A1F"/>
    <w:rsid w:val="00561B09"/>
    <w:rsid w:val="0057364B"/>
    <w:rsid w:val="005744C8"/>
    <w:rsid w:val="005B228D"/>
    <w:rsid w:val="00615B05"/>
    <w:rsid w:val="0062385E"/>
    <w:rsid w:val="00636E4E"/>
    <w:rsid w:val="006F347C"/>
    <w:rsid w:val="00774A3D"/>
    <w:rsid w:val="007A01C6"/>
    <w:rsid w:val="007A3052"/>
    <w:rsid w:val="007D3583"/>
    <w:rsid w:val="00845DE3"/>
    <w:rsid w:val="00856112"/>
    <w:rsid w:val="00893812"/>
    <w:rsid w:val="008B1E26"/>
    <w:rsid w:val="008D3BAA"/>
    <w:rsid w:val="00935B8D"/>
    <w:rsid w:val="00A17547"/>
    <w:rsid w:val="00A264E0"/>
    <w:rsid w:val="00AC09EF"/>
    <w:rsid w:val="00AD5AE9"/>
    <w:rsid w:val="00B01FD5"/>
    <w:rsid w:val="00B14EBF"/>
    <w:rsid w:val="00B471D3"/>
    <w:rsid w:val="00BA1745"/>
    <w:rsid w:val="00C31F1E"/>
    <w:rsid w:val="00D749DA"/>
    <w:rsid w:val="00DC6382"/>
    <w:rsid w:val="00E11F7B"/>
    <w:rsid w:val="00E321AB"/>
    <w:rsid w:val="00E46B2D"/>
    <w:rsid w:val="00E50227"/>
    <w:rsid w:val="00F47074"/>
    <w:rsid w:val="00F964BD"/>
    <w:rsid w:val="00FA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21C6"/>
  <w15:docId w15:val="{EB2DFEBE-AA57-4C73-B997-CD2DF21C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744C8"/>
    <w:rPr>
      <w:color w:val="0000FF" w:themeColor="hyperlink"/>
      <w:u w:val="single"/>
    </w:rPr>
  </w:style>
  <w:style w:type="character" w:styleId="UnresolvedMention">
    <w:name w:val="Unresolved Mention"/>
    <w:basedOn w:val="DefaultParagraphFont"/>
    <w:uiPriority w:val="99"/>
    <w:semiHidden/>
    <w:unhideWhenUsed/>
    <w:rsid w:val="005744C8"/>
    <w:rPr>
      <w:color w:val="605E5C"/>
      <w:shd w:val="clear" w:color="auto" w:fill="E1DFDD"/>
    </w:rPr>
  </w:style>
  <w:style w:type="paragraph" w:styleId="Revision">
    <w:name w:val="Revision"/>
    <w:hidden/>
    <w:uiPriority w:val="99"/>
    <w:semiHidden/>
    <w:rsid w:val="00BA1745"/>
    <w:pPr>
      <w:spacing w:after="0" w:line="240" w:lineRule="auto"/>
    </w:pPr>
  </w:style>
  <w:style w:type="paragraph" w:styleId="CommentSubject">
    <w:name w:val="annotation subject"/>
    <w:basedOn w:val="CommentText"/>
    <w:next w:val="CommentText"/>
    <w:link w:val="CommentSubjectChar"/>
    <w:uiPriority w:val="99"/>
    <w:semiHidden/>
    <w:unhideWhenUsed/>
    <w:rsid w:val="002E6F4D"/>
    <w:rPr>
      <w:b/>
      <w:bCs/>
    </w:rPr>
  </w:style>
  <w:style w:type="character" w:customStyle="1" w:styleId="CommentSubjectChar">
    <w:name w:val="Comment Subject Char"/>
    <w:basedOn w:val="CommentTextChar"/>
    <w:link w:val="CommentSubject"/>
    <w:uiPriority w:val="99"/>
    <w:semiHidden/>
    <w:rsid w:val="002E6F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limpia.negru@mmediu.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undatii.r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undatii.r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undatii.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undatii.r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62FF-F74C-474C-A016-4DA657A0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Marcusohn</dc:creator>
  <cp:lastModifiedBy>Simona Marcusohn</cp:lastModifiedBy>
  <cp:revision>5</cp:revision>
  <cp:lastPrinted>2022-11-07T15:22:00Z</cp:lastPrinted>
  <dcterms:created xsi:type="dcterms:W3CDTF">2022-11-07T15:42:00Z</dcterms:created>
  <dcterms:modified xsi:type="dcterms:W3CDTF">2022-11-07T16:12:00Z</dcterms:modified>
</cp:coreProperties>
</file>